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B8" w:rsidRDefault="00545AA1">
      <w:r w:rsidRPr="00870FB8">
        <w:rPr>
          <w:rFonts w:eastAsia="Calibri" w:cs="Arial"/>
          <w:noProof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767A3" wp14:editId="084FA758">
                <wp:simplePos x="0" y="0"/>
                <wp:positionH relativeFrom="column">
                  <wp:posOffset>90805</wp:posOffset>
                </wp:positionH>
                <wp:positionV relativeFrom="paragraph">
                  <wp:posOffset>3615054</wp:posOffset>
                </wp:positionV>
                <wp:extent cx="5594985" cy="1476375"/>
                <wp:effectExtent l="0" t="0" r="2476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985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70FB8" w:rsidRPr="00FB72C3" w:rsidRDefault="00870FB8" w:rsidP="00870FB8">
                            <w:pPr>
                              <w:keepNext/>
                              <w:shd w:val="clear" w:color="auto" w:fill="FFFFFF"/>
                              <w:jc w:val="center"/>
                              <w:outlineLvl w:val="0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FB72C3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Cs w:val="24"/>
                                <w:lang w:val="x-none"/>
                              </w:rPr>
                              <w:t>Program</w:t>
                            </w:r>
                          </w:p>
                          <w:p w:rsidR="00870FB8" w:rsidRPr="002B61EE" w:rsidRDefault="00870FB8" w:rsidP="00637D99">
                            <w:pPr>
                              <w:keepNext/>
                              <w:shd w:val="clear" w:color="auto" w:fill="FFFFFF"/>
                              <w:jc w:val="center"/>
                              <w:outlineLvl w:val="0"/>
                              <w:rPr>
                                <w:rFonts w:ascii="Cambria" w:eastAsia="Times New Roman" w:hAnsi="Cambria" w:cs="Times New Roman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FB72C3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Cs w:val="24"/>
                              </w:rPr>
                              <w:t xml:space="preserve"> utroška sredstava</w:t>
                            </w:r>
                            <w:r w:rsidR="00637D99" w:rsidRPr="00FB72C3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Cs w:val="24"/>
                              </w:rPr>
                              <w:t xml:space="preserve"> utvrđenih u razdjelu 17. Budžeta Federacije Bosne i Hercegovine za 202</w:t>
                            </w:r>
                            <w:r w:rsidR="006A0D40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Cs w:val="24"/>
                              </w:rPr>
                              <w:t>3</w:t>
                            </w:r>
                            <w:r w:rsidR="00637D99" w:rsidRPr="00FB72C3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Cs w:val="24"/>
                              </w:rPr>
                              <w:t>. godinu Federalnom ministarstvu energije, rudarstva i industrije</w:t>
                            </w:r>
                            <w:r w:rsidRPr="00FB72C3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Cs w:val="24"/>
                              </w:rPr>
                              <w:t xml:space="preserve"> „Tekući transferi i drugi tekući rashodi - Subvencije javnim preduzećima</w:t>
                            </w:r>
                            <w:r w:rsidR="0095035A" w:rsidRPr="00FB72C3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Cs w:val="24"/>
                              </w:rPr>
                              <w:t>- za uvezivanje radnog staža</w:t>
                            </w:r>
                            <w:r w:rsidRPr="00FB72C3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Cs w:val="24"/>
                              </w:rPr>
                              <w:t>“</w:t>
                            </w:r>
                          </w:p>
                          <w:p w:rsidR="00870FB8" w:rsidRDefault="00870FB8" w:rsidP="00870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767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15pt;margin-top:284.65pt;width:440.5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" fillcolor="window" strokecolor="window" strokeweight=".5pt">
                <v:textbox>
                  <w:txbxContent>
                    <w:p w:rsidR="00870FB8" w:rsidRPr="00FB72C3" w:rsidRDefault="00870FB8" w:rsidP="00870FB8">
                      <w:pPr>
                        <w:keepNext/>
                        <w:shd w:val="clear" w:color="auto" w:fill="FFFFFF"/>
                        <w:jc w:val="center"/>
                        <w:outlineLvl w:val="0"/>
                        <w:rPr>
                          <w:rFonts w:eastAsia="Times New Roman"/>
                          <w:b/>
                          <w:bCs/>
                          <w:color w:val="000000"/>
                          <w:szCs w:val="24"/>
                        </w:rPr>
                      </w:pPr>
                      <w:r w:rsidRPr="00FB72C3">
                        <w:rPr>
                          <w:rFonts w:eastAsia="Times New Roman"/>
                          <w:b/>
                          <w:bCs/>
                          <w:color w:val="000000"/>
                          <w:szCs w:val="24"/>
                          <w:lang w:val="x-none"/>
                        </w:rPr>
                        <w:t>Program</w:t>
                      </w:r>
                    </w:p>
                    <w:p w:rsidR="00870FB8" w:rsidRPr="002B61EE" w:rsidRDefault="00870FB8" w:rsidP="00637D99">
                      <w:pPr>
                        <w:keepNext/>
                        <w:shd w:val="clear" w:color="auto" w:fill="FFFFFF"/>
                        <w:jc w:val="center"/>
                        <w:outlineLvl w:val="0"/>
                        <w:rPr>
                          <w:rFonts w:ascii="Cambria" w:eastAsia="Times New Roman" w:hAnsi="Cambria" w:cs="Times New Roman"/>
                          <w:sz w:val="36"/>
                          <w:szCs w:val="36"/>
                          <w:lang w:eastAsia="ja-JP"/>
                        </w:rPr>
                      </w:pPr>
                      <w:r w:rsidRPr="00FB72C3">
                        <w:rPr>
                          <w:rFonts w:eastAsia="Times New Roman"/>
                          <w:b/>
                          <w:bCs/>
                          <w:color w:val="000000"/>
                          <w:szCs w:val="24"/>
                        </w:rPr>
                        <w:t xml:space="preserve"> utroška sredstava</w:t>
                      </w:r>
                      <w:r w:rsidR="00637D99" w:rsidRPr="00FB72C3">
                        <w:rPr>
                          <w:rFonts w:eastAsia="Times New Roman"/>
                          <w:b/>
                          <w:bCs/>
                          <w:color w:val="000000"/>
                          <w:szCs w:val="24"/>
                        </w:rPr>
                        <w:t xml:space="preserve"> utvrđenih u razdjelu 17. Budžeta Federacije Bosne i Hercegovine za 202</w:t>
                      </w:r>
                      <w:r w:rsidR="006A0D40">
                        <w:rPr>
                          <w:rFonts w:eastAsia="Times New Roman"/>
                          <w:b/>
                          <w:bCs/>
                          <w:color w:val="000000"/>
                          <w:szCs w:val="24"/>
                        </w:rPr>
                        <w:t>3</w:t>
                      </w:r>
                      <w:r w:rsidR="00637D99" w:rsidRPr="00FB72C3">
                        <w:rPr>
                          <w:rFonts w:eastAsia="Times New Roman"/>
                          <w:b/>
                          <w:bCs/>
                          <w:color w:val="000000"/>
                          <w:szCs w:val="24"/>
                        </w:rPr>
                        <w:t>. godinu Federalnom ministarstvu energije, rudarstva i industrije</w:t>
                      </w:r>
                      <w:r w:rsidRPr="00FB72C3">
                        <w:rPr>
                          <w:rFonts w:eastAsia="Times New Roman"/>
                          <w:b/>
                          <w:bCs/>
                          <w:color w:val="000000"/>
                          <w:szCs w:val="24"/>
                        </w:rPr>
                        <w:t xml:space="preserve"> „Tekući transferi i drugi tekući rashodi - Subvencije javnim preduzećima</w:t>
                      </w:r>
                      <w:r w:rsidR="0095035A" w:rsidRPr="00FB72C3">
                        <w:rPr>
                          <w:rFonts w:eastAsia="Times New Roman"/>
                          <w:b/>
                          <w:bCs/>
                          <w:color w:val="000000"/>
                          <w:szCs w:val="24"/>
                        </w:rPr>
                        <w:t>- za uvezivanje radnog staža</w:t>
                      </w:r>
                      <w:r w:rsidRPr="00FB72C3">
                        <w:rPr>
                          <w:rFonts w:eastAsia="Times New Roman"/>
                          <w:b/>
                          <w:bCs/>
                          <w:color w:val="000000"/>
                          <w:szCs w:val="24"/>
                        </w:rPr>
                        <w:t>“</w:t>
                      </w:r>
                    </w:p>
                    <w:p w:rsidR="00870FB8" w:rsidRDefault="00870FB8" w:rsidP="00870FB8"/>
                  </w:txbxContent>
                </v:textbox>
              </v:shape>
            </w:pict>
          </mc:Fallback>
        </mc:AlternateContent>
      </w:r>
      <w:r w:rsidR="00870FB8" w:rsidRPr="00870FB8">
        <w:rPr>
          <w:rFonts w:eastAsia="Calibri" w:cs="Arial"/>
          <w:noProof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38740" wp14:editId="37F88981">
                <wp:simplePos x="0" y="0"/>
                <wp:positionH relativeFrom="column">
                  <wp:posOffset>1452880</wp:posOffset>
                </wp:positionH>
                <wp:positionV relativeFrom="paragraph">
                  <wp:posOffset>8091805</wp:posOffset>
                </wp:positionV>
                <wp:extent cx="3028950" cy="3905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70FB8" w:rsidRPr="00441EDA" w:rsidRDefault="0012007E" w:rsidP="00870FB8">
                            <w:pPr>
                              <w:jc w:val="center"/>
                            </w:pPr>
                            <w:r>
                              <w:t xml:space="preserve">Mostar, </w:t>
                            </w:r>
                            <w:r w:rsidR="0095035A">
                              <w:t>20</w:t>
                            </w:r>
                            <w:r w:rsidR="00AD1D88">
                              <w:t>2</w:t>
                            </w:r>
                            <w:r w:rsidR="006A0D40">
                              <w:t>3</w:t>
                            </w:r>
                            <w:r w:rsidR="00870FB8">
                              <w:t>. godine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D38740" id="Text Box 4" o:spid="_x0000_s1027" type="#_x0000_t202" style="position:absolute;margin-left:114.4pt;margin-top:637.15pt;width:238.5pt;height:30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" fillcolor="window" strokecolor="window" strokeweight=".5pt">
                <v:textbox>
                  <w:txbxContent>
                    <w:p w:rsidR="00870FB8" w:rsidRPr="00441EDA" w:rsidRDefault="0012007E" w:rsidP="00870FB8">
                      <w:pPr>
                        <w:jc w:val="center"/>
                      </w:pPr>
                      <w:r>
                        <w:t xml:space="preserve">Mostar, </w:t>
                      </w:r>
                      <w:r w:rsidR="0095035A">
                        <w:t>20</w:t>
                      </w:r>
                      <w:r w:rsidR="00AD1D88">
                        <w:t>2</w:t>
                      </w:r>
                      <w:r w:rsidR="006A0D40">
                        <w:t>3</w:t>
                      </w:r>
                      <w:r w:rsidR="00870FB8">
                        <w:t>. godine</w:t>
                      </w:r>
                    </w:p>
                  </w:txbxContent>
                </v:textbox>
              </v:shape>
            </w:pict>
          </mc:Fallback>
        </mc:AlternateContent>
      </w:r>
      <w:r w:rsidR="00870FB8" w:rsidRPr="00870FB8">
        <w:rPr>
          <w:rFonts w:eastAsia="Calibri" w:cs="Arial"/>
          <w:noProof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FD907" wp14:editId="5EF5C01A">
                <wp:simplePos x="0" y="0"/>
                <wp:positionH relativeFrom="column">
                  <wp:posOffset>90805</wp:posOffset>
                </wp:positionH>
                <wp:positionV relativeFrom="paragraph">
                  <wp:posOffset>157480</wp:posOffset>
                </wp:positionV>
                <wp:extent cx="3943350" cy="8191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70FB8" w:rsidRDefault="00870FB8" w:rsidP="00870FB8">
                            <w:r>
                              <w:t xml:space="preserve">Bosna </w:t>
                            </w:r>
                            <w:r>
                              <w:t>i Hercegovina</w:t>
                            </w:r>
                          </w:p>
                          <w:p w:rsidR="00870FB8" w:rsidRDefault="00870FB8" w:rsidP="00870FB8">
                            <w:r>
                              <w:t>Federacija Bosne i Hercegovine</w:t>
                            </w:r>
                          </w:p>
                          <w:p w:rsidR="00870FB8" w:rsidRDefault="00870FB8" w:rsidP="00870FB8">
                            <w:r>
                              <w:t>Federalno ministarstvo energije, rudarstva i industrije</w:t>
                            </w:r>
                          </w:p>
                          <w:p w:rsidR="00870FB8" w:rsidRPr="00441EDA" w:rsidRDefault="00870FB8" w:rsidP="00870FB8">
                            <w:r>
                              <w:t>Mostar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FD907" id="Text Box 3" o:spid="_x0000_s1028" type="#_x0000_t202" style="position:absolute;margin-left:7.15pt;margin-top:12.4pt;width:310.5pt;height:6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" fillcolor="window" strokecolor="window" strokeweight=".5pt">
                <v:textbox>
                  <w:txbxContent>
                    <w:p w:rsidR="00870FB8" w:rsidRDefault="00870FB8" w:rsidP="00870FB8">
                      <w:r>
                        <w:t>Bosna i Hercegovina</w:t>
                      </w:r>
                    </w:p>
                    <w:p w:rsidR="00870FB8" w:rsidRDefault="00870FB8" w:rsidP="00870FB8">
                      <w:r>
                        <w:t>Federacija Bosne i Hercegovine</w:t>
                      </w:r>
                    </w:p>
                    <w:p w:rsidR="00870FB8" w:rsidRDefault="00870FB8" w:rsidP="00870FB8">
                      <w:r>
                        <w:t>Federalno ministarstvo energije, rudarstva i industrije</w:t>
                      </w:r>
                    </w:p>
                    <w:p w:rsidR="00870FB8" w:rsidRPr="00441EDA" w:rsidRDefault="00870FB8" w:rsidP="00870FB8">
                      <w:r>
                        <w:t>Mostar</w:t>
                      </w:r>
                    </w:p>
                  </w:txbxContent>
                </v:textbox>
              </v:shape>
            </w:pict>
          </mc:Fallback>
        </mc:AlternateContent>
      </w:r>
      <w:r w:rsidR="00870FB8">
        <w:rPr>
          <w:rFonts w:cs="Arial"/>
          <w:noProof/>
          <w:szCs w:val="24"/>
          <w:lang w:eastAsia="bs-Latn-BA"/>
        </w:rPr>
        <w:drawing>
          <wp:inline distT="0" distB="0" distL="0" distR="0" wp14:anchorId="14D78821" wp14:editId="3AA9B146">
            <wp:extent cx="5760720" cy="86062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062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70FB8">
        <w:br w:type="page"/>
      </w:r>
    </w:p>
    <w:tbl>
      <w:tblPr>
        <w:tblStyle w:val="TableGrid"/>
        <w:tblW w:w="9317" w:type="dxa"/>
        <w:tblBorders>
          <w:top w:val="none" w:sz="0" w:space="0" w:color="auto"/>
          <w:left w:val="none" w:sz="0" w:space="0" w:color="auto"/>
          <w:bottom w:val="thinThickSmallGap" w:sz="24" w:space="0" w:color="FFC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7"/>
      </w:tblGrid>
      <w:tr w:rsidR="00870FB8" w:rsidRPr="00870FB8" w:rsidTr="00E94387">
        <w:trPr>
          <w:trHeight w:val="440"/>
        </w:trPr>
        <w:tc>
          <w:tcPr>
            <w:tcW w:w="9317" w:type="dxa"/>
            <w:shd w:val="clear" w:color="auto" w:fill="auto"/>
            <w:vAlign w:val="center"/>
          </w:tcPr>
          <w:p w:rsidR="00870FB8" w:rsidRPr="00870FB8" w:rsidRDefault="00870FB8" w:rsidP="00870FB8">
            <w:pPr>
              <w:rPr>
                <w:b/>
                <w:noProof/>
                <w:sz w:val="24"/>
                <w:szCs w:val="24"/>
                <w:lang w:val="hr-HR"/>
              </w:rPr>
            </w:pPr>
            <w:r w:rsidRPr="00870FB8">
              <w:rPr>
                <w:b/>
                <w:noProof/>
                <w:sz w:val="24"/>
                <w:szCs w:val="24"/>
                <w:lang w:val="hr-HR"/>
              </w:rPr>
              <w:lastRenderedPageBreak/>
              <w:t>1. UVOD</w:t>
            </w:r>
          </w:p>
        </w:tc>
      </w:tr>
    </w:tbl>
    <w:p w:rsidR="00870FB8" w:rsidRPr="00537450" w:rsidRDefault="00870FB8" w:rsidP="00870FB8">
      <w:pPr>
        <w:rPr>
          <w:rFonts w:eastAsia="Calibri" w:cs="Arial"/>
          <w:b/>
          <w:sz w:val="20"/>
          <w:szCs w:val="20"/>
        </w:rPr>
      </w:pPr>
    </w:p>
    <w:p w:rsidR="00EF7600" w:rsidRPr="00EF7600" w:rsidRDefault="00A05DB0" w:rsidP="00870FB8">
      <w:pPr>
        <w:spacing w:after="240"/>
        <w:jc w:val="both"/>
        <w:rPr>
          <w:rFonts w:eastAsia="Calibri" w:cs="Arial"/>
          <w:szCs w:val="24"/>
        </w:rPr>
      </w:pPr>
      <w:r w:rsidRPr="00EF7600">
        <w:rPr>
          <w:rFonts w:eastAsia="Calibri" w:cs="Arial"/>
          <w:szCs w:val="24"/>
        </w:rPr>
        <w:t>Uspostavljanje stabilnog i efikasnog sistema penzijskog i invalidskog osiguranja ne tiče se samo osoba koje su danas uživaoci penzijskih prava, već i svih onih koji će to postati</w:t>
      </w:r>
      <w:r>
        <w:rPr>
          <w:rFonts w:eastAsia="Calibri" w:cs="Arial"/>
          <w:szCs w:val="24"/>
        </w:rPr>
        <w:t>.</w:t>
      </w:r>
      <w:r w:rsidRPr="006A0D40">
        <w:rPr>
          <w:rFonts w:eastAsia="Calibri" w:cs="Arial"/>
          <w:color w:val="FF0000"/>
          <w:szCs w:val="24"/>
        </w:rPr>
        <w:t xml:space="preserve"> </w:t>
      </w:r>
      <w:r w:rsidR="006A0D40" w:rsidRPr="00E00BD2">
        <w:rPr>
          <w:rFonts w:eastAsia="Calibri" w:cs="Arial"/>
          <w:szCs w:val="24"/>
        </w:rPr>
        <w:t>U Federaciji Bosne i Hercegovine već dugi niz godina je prisutan problem neuplaćivanja doprinosa radnicima, koji imaju zas</w:t>
      </w:r>
      <w:r w:rsidR="000830A9" w:rsidRPr="00E00BD2">
        <w:rPr>
          <w:rFonts w:eastAsia="Calibri" w:cs="Arial"/>
          <w:szCs w:val="24"/>
        </w:rPr>
        <w:t>novan radni odnos kako u javnim</w:t>
      </w:r>
      <w:r w:rsidR="006A0D40" w:rsidRPr="00E00BD2">
        <w:rPr>
          <w:rFonts w:eastAsia="Calibri" w:cs="Arial"/>
          <w:szCs w:val="24"/>
        </w:rPr>
        <w:t xml:space="preserve">, tako </w:t>
      </w:r>
      <w:r w:rsidR="00B417AE" w:rsidRPr="00E00BD2">
        <w:rPr>
          <w:rFonts w:eastAsia="Calibri" w:cs="Arial"/>
          <w:szCs w:val="24"/>
        </w:rPr>
        <w:t xml:space="preserve">i </w:t>
      </w:r>
      <w:r w:rsidR="006A0D40" w:rsidRPr="00E00BD2">
        <w:rPr>
          <w:rFonts w:eastAsia="Calibri" w:cs="Arial"/>
          <w:szCs w:val="24"/>
        </w:rPr>
        <w:t xml:space="preserve">u privatnim preduzećima. Naročito taj problem dolazi do izražaja kada radnici po bilo kom osnovu </w:t>
      </w:r>
      <w:r w:rsidR="00B417AE" w:rsidRPr="00E00BD2">
        <w:rPr>
          <w:rFonts w:eastAsia="Calibri" w:cs="Arial"/>
          <w:szCs w:val="24"/>
        </w:rPr>
        <w:t>steknu</w:t>
      </w:r>
      <w:r w:rsidR="006A0D40" w:rsidRPr="00E00BD2">
        <w:rPr>
          <w:rFonts w:eastAsia="Calibri" w:cs="Arial"/>
          <w:szCs w:val="24"/>
        </w:rPr>
        <w:t xml:space="preserve"> pravo na penziju, a ne mogu ga ostvariti zbog neuplaćenih doprinosa.</w:t>
      </w:r>
      <w:r w:rsidR="00EF7600" w:rsidRPr="00E00BD2">
        <w:rPr>
          <w:rFonts w:eastAsia="Calibri" w:cs="Arial"/>
          <w:szCs w:val="24"/>
        </w:rPr>
        <w:t xml:space="preserve"> </w:t>
      </w:r>
      <w:r w:rsidR="00870FB8" w:rsidRPr="00E00BD2">
        <w:rPr>
          <w:rFonts w:eastAsia="Calibri" w:cs="Arial"/>
          <w:szCs w:val="24"/>
        </w:rPr>
        <w:t xml:space="preserve">U procesu </w:t>
      </w:r>
      <w:r w:rsidR="00870FB8" w:rsidRPr="00EF7600">
        <w:rPr>
          <w:rFonts w:eastAsia="Calibri" w:cs="Arial"/>
          <w:szCs w:val="24"/>
        </w:rPr>
        <w:t xml:space="preserve">naplate doprinosa za </w:t>
      </w:r>
      <w:r w:rsidR="00DF7E4D">
        <w:rPr>
          <w:rFonts w:eastAsia="Calibri" w:cs="Arial"/>
          <w:szCs w:val="24"/>
        </w:rPr>
        <w:t>penzijsko i invalidsko osiguranje</w:t>
      </w:r>
      <w:r w:rsidR="000B3E07" w:rsidRPr="00EF7600">
        <w:rPr>
          <w:rFonts w:eastAsia="Calibri" w:cs="Arial"/>
          <w:szCs w:val="24"/>
        </w:rPr>
        <w:t>,</w:t>
      </w:r>
      <w:r w:rsidR="00870FB8" w:rsidRPr="00EF7600">
        <w:rPr>
          <w:rFonts w:eastAsia="Calibri" w:cs="Arial"/>
          <w:szCs w:val="24"/>
        </w:rPr>
        <w:t xml:space="preserve"> zapažena je nedisciplina značajnog broja obveznika</w:t>
      </w:r>
      <w:r w:rsidR="00B24C26" w:rsidRPr="00EF7600">
        <w:rPr>
          <w:rFonts w:eastAsia="Calibri" w:cs="Arial"/>
          <w:szCs w:val="24"/>
        </w:rPr>
        <w:t>. Neplaćanje doprinosa obustavlja prava iz penzijskog</w:t>
      </w:r>
      <w:r w:rsidR="000B3E07" w:rsidRPr="00EF7600">
        <w:rPr>
          <w:rFonts w:eastAsia="Calibri" w:cs="Arial"/>
          <w:szCs w:val="24"/>
        </w:rPr>
        <w:t xml:space="preserve"> osiguranja kao i prava iz obaveznog zdravstvenog osiguranja. </w:t>
      </w:r>
      <w:r w:rsidR="00E26468">
        <w:rPr>
          <w:rFonts w:eastAsia="Calibri" w:cs="Arial"/>
          <w:szCs w:val="24"/>
        </w:rPr>
        <w:t>Problem se usložnjava kada preduzeća odu u stečaj i</w:t>
      </w:r>
      <w:r w:rsidR="006F7656">
        <w:rPr>
          <w:rFonts w:eastAsia="Calibri" w:cs="Arial"/>
          <w:szCs w:val="24"/>
        </w:rPr>
        <w:t>li</w:t>
      </w:r>
      <w:r w:rsidR="00E26468">
        <w:rPr>
          <w:rFonts w:eastAsia="Calibri" w:cs="Arial"/>
          <w:szCs w:val="24"/>
        </w:rPr>
        <w:t xml:space="preserve"> u </w:t>
      </w:r>
      <w:r w:rsidR="000A5AED">
        <w:rPr>
          <w:rFonts w:eastAsia="Calibri" w:cs="Arial"/>
          <w:szCs w:val="24"/>
        </w:rPr>
        <w:t xml:space="preserve">likvidaciju, kada radnici zbog neuplaćenih doprinosa ne mogu povezati staž, odnosno ne mogu otići u zasluženu penziju. </w:t>
      </w:r>
      <w:r w:rsidR="00EF7600" w:rsidRPr="00EF7600">
        <w:rPr>
          <w:rFonts w:eastAsia="Calibri" w:cs="Arial"/>
          <w:szCs w:val="24"/>
        </w:rPr>
        <w:t>Prema grubim procjenama nekoliko desetina hiljada radnika u Bosni i Hercegovini</w:t>
      </w:r>
      <w:r w:rsidR="00B417AE">
        <w:rPr>
          <w:rFonts w:eastAsia="Calibri" w:cs="Arial"/>
          <w:szCs w:val="24"/>
        </w:rPr>
        <w:t xml:space="preserve"> </w:t>
      </w:r>
      <w:r w:rsidR="00EF7600" w:rsidRPr="00EF7600">
        <w:rPr>
          <w:rFonts w:eastAsia="Calibri" w:cs="Arial"/>
          <w:szCs w:val="24"/>
        </w:rPr>
        <w:t xml:space="preserve">nema povezan radni staž. </w:t>
      </w:r>
      <w:r w:rsidR="000A5AED">
        <w:rPr>
          <w:rFonts w:eastAsia="Calibri" w:cs="Arial"/>
          <w:szCs w:val="24"/>
        </w:rPr>
        <w:t>Manjkava zakonska regulativa i neadekvatna kontrola, omogućili su poslodavcima da radnicima godinama ne uplaćuju doprinose, tako da veliki broj radnika zbog neuvezanog radnog staža na odlazak u penziju čeka i više godina.</w:t>
      </w:r>
    </w:p>
    <w:p w:rsidR="00870FB8" w:rsidRPr="00870FB8" w:rsidRDefault="004C3B10" w:rsidP="00870FB8">
      <w:pPr>
        <w:spacing w:after="240"/>
        <w:jc w:val="both"/>
        <w:rPr>
          <w:rFonts w:eastAsia="Calibri" w:cs="Arial"/>
          <w:color w:val="FF0000"/>
          <w:szCs w:val="24"/>
        </w:rPr>
      </w:pPr>
      <w:r>
        <w:rPr>
          <w:rFonts w:eastAsia="Calibri" w:cs="Arial"/>
          <w:szCs w:val="24"/>
        </w:rPr>
        <w:t xml:space="preserve">Problem se rješava sukcesivno i postepeno, </w:t>
      </w:r>
      <w:r w:rsidR="00507D68">
        <w:rPr>
          <w:rFonts w:eastAsia="Calibri" w:cs="Arial"/>
          <w:szCs w:val="24"/>
        </w:rPr>
        <w:t xml:space="preserve">na način da </w:t>
      </w:r>
      <w:r>
        <w:rPr>
          <w:rFonts w:eastAsia="Calibri" w:cs="Arial"/>
          <w:szCs w:val="24"/>
        </w:rPr>
        <w:t xml:space="preserve">preduzeća </w:t>
      </w:r>
      <w:r w:rsidR="00507D68">
        <w:rPr>
          <w:rFonts w:eastAsia="Calibri" w:cs="Arial"/>
          <w:szCs w:val="24"/>
        </w:rPr>
        <w:t xml:space="preserve">apliciraju za dodjelu sredstava za uvezivanje radnog staža, </w:t>
      </w:r>
      <w:r>
        <w:rPr>
          <w:rFonts w:eastAsia="Calibri" w:cs="Arial"/>
          <w:szCs w:val="24"/>
        </w:rPr>
        <w:t xml:space="preserve">putem </w:t>
      </w:r>
      <w:r w:rsidR="00507D68">
        <w:rPr>
          <w:rFonts w:eastAsia="Calibri" w:cs="Arial"/>
          <w:szCs w:val="24"/>
        </w:rPr>
        <w:t xml:space="preserve">raspisanog </w:t>
      </w:r>
      <w:r>
        <w:rPr>
          <w:rFonts w:eastAsia="Calibri" w:cs="Arial"/>
          <w:szCs w:val="24"/>
        </w:rPr>
        <w:t>Javnog poziva</w:t>
      </w:r>
      <w:r w:rsidR="00507D68">
        <w:rPr>
          <w:rFonts w:eastAsia="Calibri" w:cs="Arial"/>
          <w:szCs w:val="24"/>
        </w:rPr>
        <w:t>.</w:t>
      </w:r>
      <w:r>
        <w:rPr>
          <w:rFonts w:eastAsia="Calibri" w:cs="Arial"/>
          <w:szCs w:val="24"/>
        </w:rPr>
        <w:t xml:space="preserve"> </w:t>
      </w:r>
      <w:r w:rsidR="00350276" w:rsidRPr="00EF7600">
        <w:rPr>
          <w:rFonts w:eastAsia="Calibri" w:cs="Arial"/>
          <w:szCs w:val="24"/>
        </w:rPr>
        <w:t xml:space="preserve">Kako se radi </w:t>
      </w:r>
      <w:r w:rsidR="00543CFB">
        <w:rPr>
          <w:rFonts w:eastAsia="Calibri" w:cs="Arial"/>
          <w:szCs w:val="24"/>
        </w:rPr>
        <w:t xml:space="preserve">o </w:t>
      </w:r>
      <w:r w:rsidR="00350276" w:rsidRPr="00EF7600">
        <w:rPr>
          <w:rFonts w:eastAsia="Calibri" w:cs="Arial"/>
          <w:szCs w:val="24"/>
        </w:rPr>
        <w:t xml:space="preserve">značajnom </w:t>
      </w:r>
      <w:r w:rsidR="000A5AED">
        <w:rPr>
          <w:rFonts w:eastAsia="Calibri" w:cs="Arial"/>
          <w:szCs w:val="24"/>
        </w:rPr>
        <w:t xml:space="preserve">i veoma osjetljivom </w:t>
      </w:r>
      <w:r w:rsidR="00350276" w:rsidRPr="00EF7600">
        <w:rPr>
          <w:rFonts w:eastAsia="Calibri" w:cs="Arial"/>
          <w:szCs w:val="24"/>
        </w:rPr>
        <w:t>socijalnom pitanju</w:t>
      </w:r>
      <w:r w:rsidR="00A87D6F" w:rsidRPr="00EF7600">
        <w:rPr>
          <w:rFonts w:eastAsia="Calibri" w:cs="Arial"/>
          <w:szCs w:val="24"/>
        </w:rPr>
        <w:t xml:space="preserve"> Vlada Federacije Bosne i </w:t>
      </w:r>
      <w:r w:rsidR="00A87D6F" w:rsidRPr="002B32FB">
        <w:rPr>
          <w:rFonts w:eastAsia="Calibri" w:cs="Arial"/>
          <w:szCs w:val="24"/>
        </w:rPr>
        <w:t xml:space="preserve">Hercegovine je i u </w:t>
      </w:r>
      <w:r w:rsidR="00BB1EA0" w:rsidRPr="002B32FB">
        <w:rPr>
          <w:rFonts w:eastAsia="Calibri" w:cs="Arial"/>
          <w:szCs w:val="24"/>
        </w:rPr>
        <w:t>20</w:t>
      </w:r>
      <w:r w:rsidR="00350276" w:rsidRPr="002B32FB">
        <w:rPr>
          <w:rFonts w:eastAsia="Calibri" w:cs="Arial"/>
          <w:szCs w:val="24"/>
        </w:rPr>
        <w:t>2</w:t>
      </w:r>
      <w:r w:rsidR="006A0D40">
        <w:rPr>
          <w:rFonts w:eastAsia="Calibri" w:cs="Arial"/>
          <w:szCs w:val="24"/>
        </w:rPr>
        <w:t>3</w:t>
      </w:r>
      <w:r w:rsidR="00BB1EA0" w:rsidRPr="002B32FB">
        <w:rPr>
          <w:rFonts w:eastAsia="Calibri" w:cs="Arial"/>
          <w:szCs w:val="24"/>
        </w:rPr>
        <w:t>. godin</w:t>
      </w:r>
      <w:r w:rsidR="00A87D6F" w:rsidRPr="002B32FB">
        <w:rPr>
          <w:rFonts w:eastAsia="Calibri" w:cs="Arial"/>
          <w:szCs w:val="24"/>
        </w:rPr>
        <w:t>i</w:t>
      </w:r>
      <w:r w:rsidR="00BB1EA0" w:rsidRPr="002B32FB">
        <w:rPr>
          <w:rFonts w:eastAsia="Calibri" w:cs="Arial"/>
          <w:szCs w:val="24"/>
        </w:rPr>
        <w:t xml:space="preserve">, </w:t>
      </w:r>
      <w:r w:rsidR="008C7869" w:rsidRPr="002B32FB">
        <w:rPr>
          <w:rFonts w:eastAsia="Calibri" w:cs="Arial"/>
          <w:szCs w:val="24"/>
        </w:rPr>
        <w:t xml:space="preserve">kao i u prethodnim godinama, </w:t>
      </w:r>
      <w:r w:rsidR="00BB1EA0" w:rsidRPr="002B32FB">
        <w:rPr>
          <w:rFonts w:eastAsia="Calibri" w:cs="Arial"/>
          <w:szCs w:val="24"/>
        </w:rPr>
        <w:t>u razdjelu</w:t>
      </w:r>
      <w:r w:rsidR="00870FB8" w:rsidRPr="002B32FB">
        <w:rPr>
          <w:rFonts w:eastAsia="Calibri" w:cs="Arial"/>
          <w:szCs w:val="24"/>
        </w:rPr>
        <w:t xml:space="preserve"> 17, ekonomski kod 614- Tekući transferi i drugi tekući rashodi, na poziciji „</w:t>
      </w:r>
      <w:r w:rsidR="00870FB8" w:rsidRPr="002B32FB">
        <w:rPr>
          <w:rFonts w:eastAsia="Times New Roman" w:cs="Arial"/>
          <w:bCs/>
          <w:color w:val="000000"/>
          <w:szCs w:val="24"/>
        </w:rPr>
        <w:t>Subvencije javnim  preduzećima</w:t>
      </w:r>
      <w:r w:rsidR="002B32FB" w:rsidRPr="002B32FB">
        <w:rPr>
          <w:rFonts w:eastAsia="Times New Roman" w:cs="Arial"/>
          <w:bCs/>
          <w:color w:val="000000"/>
          <w:szCs w:val="24"/>
        </w:rPr>
        <w:t xml:space="preserve"> </w:t>
      </w:r>
      <w:r w:rsidR="00FE3C31" w:rsidRPr="002B32FB">
        <w:rPr>
          <w:rFonts w:eastAsia="Times New Roman" w:cs="Arial"/>
          <w:bCs/>
          <w:color w:val="000000"/>
          <w:szCs w:val="24"/>
        </w:rPr>
        <w:t>-</w:t>
      </w:r>
      <w:r w:rsidR="002B32FB" w:rsidRPr="002B32FB">
        <w:rPr>
          <w:rFonts w:eastAsia="Times New Roman" w:cs="Arial"/>
          <w:bCs/>
          <w:color w:val="000000"/>
          <w:szCs w:val="24"/>
        </w:rPr>
        <w:t xml:space="preserve"> </w:t>
      </w:r>
      <w:r w:rsidR="00FE3C31" w:rsidRPr="002B32FB">
        <w:rPr>
          <w:rFonts w:eastAsia="Times New Roman" w:cs="Arial"/>
          <w:bCs/>
          <w:color w:val="000000"/>
          <w:szCs w:val="24"/>
        </w:rPr>
        <w:t>za uvezivanje radnog staža</w:t>
      </w:r>
      <w:r w:rsidR="00870FB8" w:rsidRPr="002B32FB">
        <w:rPr>
          <w:rFonts w:eastAsia="Times New Roman" w:cs="Arial"/>
          <w:bCs/>
          <w:color w:val="000000"/>
          <w:szCs w:val="24"/>
        </w:rPr>
        <w:t xml:space="preserve">“ </w:t>
      </w:r>
      <w:r w:rsidR="00A87D6F" w:rsidRPr="002B32FB">
        <w:rPr>
          <w:rFonts w:eastAsia="Times New Roman" w:cs="Arial"/>
          <w:bCs/>
          <w:color w:val="000000"/>
          <w:szCs w:val="24"/>
        </w:rPr>
        <w:t>planirala</w:t>
      </w:r>
      <w:r w:rsidR="00870FB8" w:rsidRPr="002B32FB">
        <w:rPr>
          <w:rFonts w:eastAsia="Times New Roman" w:cs="Arial"/>
          <w:bCs/>
          <w:color w:val="000000"/>
          <w:szCs w:val="24"/>
        </w:rPr>
        <w:t xml:space="preserve"> </w:t>
      </w:r>
      <w:r w:rsidR="00870FB8" w:rsidRPr="00E00BD2">
        <w:rPr>
          <w:rFonts w:eastAsia="Times New Roman" w:cs="Arial"/>
          <w:bCs/>
          <w:szCs w:val="24"/>
        </w:rPr>
        <w:t xml:space="preserve">sredstva </w:t>
      </w:r>
      <w:r w:rsidR="006A0D40" w:rsidRPr="00E00BD2">
        <w:rPr>
          <w:rFonts w:eastAsia="Times New Roman" w:cs="Arial"/>
          <w:bCs/>
          <w:szCs w:val="24"/>
        </w:rPr>
        <w:t xml:space="preserve">u iznosu od 3.500.000,00 KM </w:t>
      </w:r>
      <w:r w:rsidR="00870FB8" w:rsidRPr="00E00BD2">
        <w:rPr>
          <w:rFonts w:eastAsia="Times New Roman" w:cs="Arial"/>
          <w:bCs/>
          <w:szCs w:val="24"/>
        </w:rPr>
        <w:t xml:space="preserve">za </w:t>
      </w:r>
      <w:r w:rsidR="00507D68" w:rsidRPr="00E00BD2">
        <w:rPr>
          <w:rFonts w:eastAsia="Times New Roman" w:cs="Arial"/>
          <w:bCs/>
          <w:szCs w:val="24"/>
        </w:rPr>
        <w:t>uplatu</w:t>
      </w:r>
      <w:r w:rsidR="00870FB8" w:rsidRPr="00E00BD2">
        <w:rPr>
          <w:rFonts w:eastAsia="Times New Roman" w:cs="Arial"/>
          <w:bCs/>
          <w:szCs w:val="24"/>
        </w:rPr>
        <w:t xml:space="preserve"> neuplaćenog </w:t>
      </w:r>
      <w:r w:rsidR="008C7869" w:rsidRPr="00E00BD2">
        <w:rPr>
          <w:rFonts w:eastAsia="Times New Roman" w:cs="Arial"/>
          <w:bCs/>
          <w:szCs w:val="24"/>
        </w:rPr>
        <w:t xml:space="preserve">radnog </w:t>
      </w:r>
      <w:r w:rsidR="00870FB8" w:rsidRPr="00E00BD2">
        <w:rPr>
          <w:rFonts w:eastAsia="Times New Roman" w:cs="Arial"/>
          <w:bCs/>
          <w:szCs w:val="24"/>
        </w:rPr>
        <w:t>staža</w:t>
      </w:r>
      <w:r w:rsidR="00F81214" w:rsidRPr="00E00BD2">
        <w:rPr>
          <w:rFonts w:eastAsia="Times New Roman" w:cs="Arial"/>
          <w:bCs/>
          <w:szCs w:val="24"/>
        </w:rPr>
        <w:t xml:space="preserve"> po osnovu </w:t>
      </w:r>
      <w:r w:rsidR="006A0D40" w:rsidRPr="00E00BD2">
        <w:rPr>
          <w:rFonts w:eastAsia="Times New Roman" w:cs="Arial"/>
          <w:bCs/>
          <w:szCs w:val="24"/>
        </w:rPr>
        <w:t xml:space="preserve">doprinosa za </w:t>
      </w:r>
      <w:r w:rsidR="00F81214" w:rsidRPr="00E00BD2">
        <w:rPr>
          <w:rFonts w:eastAsia="Times New Roman" w:cs="Arial"/>
          <w:bCs/>
          <w:szCs w:val="24"/>
        </w:rPr>
        <w:t>PIO/MIO</w:t>
      </w:r>
      <w:r w:rsidR="00F7276D" w:rsidRPr="00E00BD2">
        <w:rPr>
          <w:rFonts w:eastAsia="Times New Roman" w:cs="Arial"/>
          <w:bCs/>
          <w:szCs w:val="24"/>
        </w:rPr>
        <w:t xml:space="preserve">, a za preduzeća </w:t>
      </w:r>
      <w:r w:rsidR="00561765" w:rsidRPr="00E00BD2">
        <w:rPr>
          <w:rFonts w:eastAsia="Times New Roman" w:cs="Arial"/>
          <w:bCs/>
          <w:szCs w:val="24"/>
        </w:rPr>
        <w:t xml:space="preserve">koja su </w:t>
      </w:r>
      <w:r w:rsidR="00F7276D" w:rsidRPr="00E00BD2">
        <w:rPr>
          <w:rFonts w:eastAsia="Times New Roman" w:cs="Arial"/>
          <w:bCs/>
          <w:szCs w:val="24"/>
        </w:rPr>
        <w:t xml:space="preserve">u procesu likvidacije planirana su sredstva za uplatu </w:t>
      </w:r>
      <w:r w:rsidR="00F7276D" w:rsidRPr="002B32FB">
        <w:rPr>
          <w:rFonts w:eastAsia="Times New Roman" w:cs="Arial"/>
          <w:bCs/>
          <w:color w:val="000000"/>
          <w:szCs w:val="24"/>
        </w:rPr>
        <w:t>neuplaćenog radnog staža</w:t>
      </w:r>
      <w:r w:rsidR="00F7276D">
        <w:rPr>
          <w:rFonts w:eastAsia="Times New Roman" w:cs="Arial"/>
          <w:bCs/>
          <w:color w:val="000000"/>
          <w:szCs w:val="24"/>
        </w:rPr>
        <w:t xml:space="preserve"> i po osnovu PIO/MIO i po osnovu ostalih pripadajućih doprinosa (</w:t>
      </w:r>
      <w:r w:rsidR="00561765">
        <w:rPr>
          <w:rFonts w:eastAsia="Times New Roman" w:cs="Arial"/>
          <w:bCs/>
          <w:color w:val="000000"/>
          <w:szCs w:val="24"/>
        </w:rPr>
        <w:t>zdravstvenog osiguranja i osiguranja od nezaposlenosti) s obzirom</w:t>
      </w:r>
      <w:r w:rsidR="00F7276D">
        <w:rPr>
          <w:rFonts w:eastAsia="Times New Roman" w:cs="Arial"/>
          <w:bCs/>
          <w:color w:val="000000"/>
          <w:szCs w:val="24"/>
        </w:rPr>
        <w:t xml:space="preserve"> </w:t>
      </w:r>
      <w:r w:rsidR="00561765">
        <w:rPr>
          <w:rFonts w:eastAsia="Times New Roman" w:cs="Arial"/>
          <w:bCs/>
          <w:color w:val="000000"/>
          <w:szCs w:val="24"/>
        </w:rPr>
        <w:t>da preduzeća u procesu likvidacije, zbog  statusa u kojem su se našla, nemaju na raspolaganju sredstva za uplatu ostalih doprinosa.</w:t>
      </w:r>
    </w:p>
    <w:tbl>
      <w:tblPr>
        <w:tblStyle w:val="TableGrid"/>
        <w:tblW w:w="9301" w:type="dxa"/>
        <w:tblBorders>
          <w:top w:val="none" w:sz="0" w:space="0" w:color="auto"/>
          <w:left w:val="none" w:sz="0" w:space="0" w:color="auto"/>
          <w:bottom w:val="thinThickSmallGap" w:sz="24" w:space="0" w:color="FFC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1"/>
      </w:tblGrid>
      <w:tr w:rsidR="00870FB8" w:rsidRPr="00870FB8" w:rsidTr="00E94387">
        <w:trPr>
          <w:trHeight w:val="425"/>
        </w:trPr>
        <w:tc>
          <w:tcPr>
            <w:tcW w:w="9301" w:type="dxa"/>
            <w:vAlign w:val="center"/>
          </w:tcPr>
          <w:p w:rsidR="00870FB8" w:rsidRPr="00870FB8" w:rsidRDefault="00870FB8" w:rsidP="00870FB8">
            <w:pPr>
              <w:rPr>
                <w:b/>
                <w:noProof/>
                <w:sz w:val="24"/>
                <w:szCs w:val="24"/>
                <w:lang w:val="hr-HR"/>
              </w:rPr>
            </w:pPr>
            <w:r w:rsidRPr="00870FB8">
              <w:rPr>
                <w:b/>
                <w:noProof/>
                <w:sz w:val="24"/>
                <w:szCs w:val="24"/>
                <w:lang w:val="hr-HR"/>
              </w:rPr>
              <w:t>2. PRAVNI  OSNOV</w:t>
            </w:r>
          </w:p>
        </w:tc>
      </w:tr>
    </w:tbl>
    <w:p w:rsidR="00870FB8" w:rsidRPr="00537450" w:rsidRDefault="00870FB8" w:rsidP="00870FB8">
      <w:pPr>
        <w:ind w:left="426"/>
        <w:rPr>
          <w:rFonts w:eastAsia="Calibri" w:cs="Arial"/>
          <w:b/>
          <w:sz w:val="20"/>
          <w:szCs w:val="20"/>
        </w:rPr>
      </w:pPr>
    </w:p>
    <w:p w:rsidR="00870FB8" w:rsidRPr="00D65803" w:rsidRDefault="00870FB8" w:rsidP="00870FB8">
      <w:pPr>
        <w:numPr>
          <w:ilvl w:val="0"/>
          <w:numId w:val="3"/>
        </w:numPr>
        <w:jc w:val="both"/>
        <w:rPr>
          <w:rFonts w:eastAsia="Calibri" w:cs="Arial"/>
          <w:szCs w:val="24"/>
          <w:lang w:val="hr-HR"/>
        </w:rPr>
      </w:pPr>
      <w:r w:rsidRPr="00D65803">
        <w:rPr>
          <w:rFonts w:eastAsia="Calibri" w:cs="Arial"/>
          <w:szCs w:val="24"/>
          <w:lang w:val="hr-HR"/>
        </w:rPr>
        <w:t xml:space="preserve">Strategija razvoja industrije tekstila, odjeće, kože i obuće u Federaciji Bosne i Hercegovine za period 2013-2023. godine </w:t>
      </w:r>
      <w:r w:rsidRPr="00D65803">
        <w:rPr>
          <w:rFonts w:eastAsia="Calibri" w:cs="Arial"/>
          <w:bCs/>
          <w:szCs w:val="24"/>
          <w:lang w:val="hr-HR"/>
        </w:rPr>
        <w:t>(</w:t>
      </w:r>
      <w:r w:rsidRPr="00D65803">
        <w:rPr>
          <w:rFonts w:eastAsia="Times New Roman" w:cs="Arial"/>
          <w:bCs/>
          <w:szCs w:val="24"/>
          <w:lang w:val="hr-HR" w:eastAsia="hr-HR"/>
        </w:rPr>
        <w:t xml:space="preserve">"Službene novine Federacije </w:t>
      </w:r>
      <w:r w:rsidRPr="00D65803">
        <w:rPr>
          <w:rFonts w:eastAsia="Calibri" w:cs="Arial"/>
          <w:szCs w:val="24"/>
          <w:lang w:val="hr-HR"/>
        </w:rPr>
        <w:t>BiH</w:t>
      </w:r>
      <w:r w:rsidRPr="00D65803">
        <w:rPr>
          <w:rFonts w:eastAsia="Times New Roman" w:cs="Arial"/>
          <w:bCs/>
          <w:szCs w:val="24"/>
          <w:lang w:val="hr-HR" w:eastAsia="hr-HR"/>
        </w:rPr>
        <w:t xml:space="preserve"> ”, broj 65/13);</w:t>
      </w:r>
    </w:p>
    <w:p w:rsidR="00852672" w:rsidRPr="00D65803" w:rsidRDefault="00852672" w:rsidP="00852672">
      <w:pPr>
        <w:numPr>
          <w:ilvl w:val="0"/>
          <w:numId w:val="3"/>
        </w:numPr>
        <w:jc w:val="both"/>
      </w:pPr>
      <w:r w:rsidRPr="00D65803">
        <w:rPr>
          <w:rFonts w:eastAsia="Times New Roman"/>
          <w:bCs/>
          <w:lang w:eastAsia="hr-HR"/>
        </w:rPr>
        <w:t>Strategija razvoja drvne industrije Federacije Bosne i Hercegovine za period 2016.-2025. godina („Službene novine Federacije BiH“, broj 70/18);</w:t>
      </w:r>
    </w:p>
    <w:p w:rsidR="00852672" w:rsidRPr="00D65803" w:rsidRDefault="00852672" w:rsidP="00852672">
      <w:pPr>
        <w:numPr>
          <w:ilvl w:val="0"/>
          <w:numId w:val="3"/>
        </w:numPr>
        <w:jc w:val="both"/>
      </w:pPr>
      <w:r w:rsidRPr="00D65803">
        <w:rPr>
          <w:rFonts w:eastAsia="Times New Roman"/>
          <w:bCs/>
          <w:lang w:eastAsia="hr-HR"/>
        </w:rPr>
        <w:t>Strategija razvoja industrije građevinskog materijala Federacije Bosne i Hercegovine za period 2018.-2025. godine („Službene novine Federacije BiH“, broj 70/18);</w:t>
      </w:r>
    </w:p>
    <w:p w:rsidR="00852672" w:rsidRPr="00D65803" w:rsidRDefault="00852672" w:rsidP="00852672">
      <w:pPr>
        <w:numPr>
          <w:ilvl w:val="0"/>
          <w:numId w:val="3"/>
        </w:numPr>
        <w:jc w:val="both"/>
      </w:pPr>
      <w:r w:rsidRPr="00D65803">
        <w:rPr>
          <w:rFonts w:eastAsia="Times New Roman"/>
          <w:bCs/>
          <w:lang w:eastAsia="hr-HR"/>
        </w:rPr>
        <w:t>Strategija razvoja metalnog i elektro sektora Federacije Bosne i Hercegovine za period 2016.-2025. godine („Službene novine Federacije BiH“, broj 70/18);</w:t>
      </w:r>
    </w:p>
    <w:p w:rsidR="00852672" w:rsidRPr="00543CFB" w:rsidRDefault="00852672" w:rsidP="00852672">
      <w:pPr>
        <w:numPr>
          <w:ilvl w:val="0"/>
          <w:numId w:val="3"/>
        </w:numPr>
        <w:jc w:val="both"/>
      </w:pPr>
      <w:r w:rsidRPr="00543CFB">
        <w:t xml:space="preserve">Akcioni plan za period 2019.-2023. godine za realizaciju Strategije razvoja industrije tekstila, odjeće, kože i obuće u Federaciji Bosne i Hercegovine za period 2013-2023. godine (Zaključak V. broj </w:t>
      </w:r>
      <w:r w:rsidR="0034029D" w:rsidRPr="00543CFB">
        <w:t>1588</w:t>
      </w:r>
      <w:r w:rsidRPr="00543CFB">
        <w:t>/20</w:t>
      </w:r>
      <w:r w:rsidR="0034029D" w:rsidRPr="00543CFB">
        <w:t>21</w:t>
      </w:r>
      <w:r w:rsidRPr="00543CFB">
        <w:t xml:space="preserve"> od 2</w:t>
      </w:r>
      <w:r w:rsidR="0034029D" w:rsidRPr="00543CFB">
        <w:t>1</w:t>
      </w:r>
      <w:r w:rsidRPr="00543CFB">
        <w:t>.10.20</w:t>
      </w:r>
      <w:r w:rsidR="0034029D" w:rsidRPr="00543CFB">
        <w:t>21</w:t>
      </w:r>
      <w:r w:rsidRPr="00543CFB">
        <w:t>. godine).</w:t>
      </w:r>
    </w:p>
    <w:p w:rsidR="008A46C1" w:rsidRDefault="008A46C1" w:rsidP="00870FB8">
      <w:pPr>
        <w:ind w:left="720"/>
        <w:rPr>
          <w:rFonts w:eastAsia="Calibri" w:cs="Arial"/>
          <w:sz w:val="20"/>
          <w:szCs w:val="20"/>
        </w:rPr>
      </w:pPr>
    </w:p>
    <w:p w:rsidR="008A46C1" w:rsidRDefault="008A46C1" w:rsidP="00870FB8">
      <w:pPr>
        <w:ind w:left="720"/>
        <w:rPr>
          <w:rFonts w:eastAsia="Calibri" w:cs="Arial"/>
          <w:sz w:val="20"/>
          <w:szCs w:val="20"/>
        </w:rPr>
      </w:pPr>
    </w:p>
    <w:p w:rsidR="008A46C1" w:rsidRPr="00537450" w:rsidRDefault="008A46C1" w:rsidP="00870FB8">
      <w:pPr>
        <w:ind w:left="720"/>
        <w:rPr>
          <w:rFonts w:eastAsia="Calibri" w:cs="Arial"/>
          <w:sz w:val="20"/>
          <w:szCs w:val="20"/>
        </w:rPr>
      </w:pPr>
    </w:p>
    <w:tbl>
      <w:tblPr>
        <w:tblStyle w:val="TableGrid"/>
        <w:tblW w:w="9317" w:type="dxa"/>
        <w:tblBorders>
          <w:top w:val="none" w:sz="0" w:space="0" w:color="auto"/>
          <w:left w:val="none" w:sz="0" w:space="0" w:color="auto"/>
          <w:bottom w:val="thinThickSmallGap" w:sz="24" w:space="0" w:color="FFC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7"/>
      </w:tblGrid>
      <w:tr w:rsidR="00870FB8" w:rsidRPr="00870FB8" w:rsidTr="00E94387">
        <w:trPr>
          <w:trHeight w:val="455"/>
        </w:trPr>
        <w:tc>
          <w:tcPr>
            <w:tcW w:w="9317" w:type="dxa"/>
            <w:vAlign w:val="center"/>
          </w:tcPr>
          <w:p w:rsidR="00870FB8" w:rsidRPr="00870FB8" w:rsidRDefault="00870FB8" w:rsidP="00870FB8">
            <w:pPr>
              <w:rPr>
                <w:b/>
                <w:noProof/>
                <w:sz w:val="24"/>
                <w:szCs w:val="24"/>
                <w:lang w:val="hr-HR"/>
              </w:rPr>
            </w:pPr>
            <w:r w:rsidRPr="00870FB8">
              <w:rPr>
                <w:b/>
                <w:noProof/>
                <w:sz w:val="24"/>
                <w:szCs w:val="24"/>
                <w:lang w:val="hr-HR"/>
              </w:rPr>
              <w:lastRenderedPageBreak/>
              <w:t>3. ZAKONODAVNI  OKVIR PROVOĐENJA PROGRAMA</w:t>
            </w:r>
          </w:p>
        </w:tc>
      </w:tr>
    </w:tbl>
    <w:p w:rsidR="00870FB8" w:rsidRPr="00870FB8" w:rsidRDefault="00870FB8" w:rsidP="00870FB8">
      <w:pPr>
        <w:tabs>
          <w:tab w:val="left" w:pos="5301"/>
        </w:tabs>
        <w:autoSpaceDE w:val="0"/>
        <w:autoSpaceDN w:val="0"/>
        <w:adjustRightInd w:val="0"/>
        <w:ind w:left="426"/>
        <w:jc w:val="both"/>
        <w:rPr>
          <w:rFonts w:eastAsia="Calibri" w:cs="Arial"/>
          <w:b/>
          <w:szCs w:val="24"/>
        </w:rPr>
      </w:pPr>
      <w:r w:rsidRPr="00870FB8">
        <w:rPr>
          <w:rFonts w:eastAsia="Calibri" w:cs="Arial"/>
          <w:b/>
          <w:szCs w:val="24"/>
        </w:rPr>
        <w:tab/>
      </w:r>
    </w:p>
    <w:p w:rsidR="008E22B6" w:rsidRPr="00075AE7" w:rsidRDefault="008E22B6" w:rsidP="008E22B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 w:cs="Arial"/>
          <w:szCs w:val="24"/>
        </w:rPr>
      </w:pPr>
      <w:r w:rsidRPr="00075AE7">
        <w:rPr>
          <w:rFonts w:eastAsia="Calibri" w:cs="Arial"/>
          <w:szCs w:val="24"/>
        </w:rPr>
        <w:t>Budžet Federa</w:t>
      </w:r>
      <w:r w:rsidR="00260625">
        <w:rPr>
          <w:rFonts w:eastAsia="Calibri" w:cs="Arial"/>
          <w:szCs w:val="24"/>
        </w:rPr>
        <w:t>cije Bosne i Hercegovine za 202</w:t>
      </w:r>
      <w:r w:rsidR="006A0D40">
        <w:rPr>
          <w:rFonts w:eastAsia="Calibri" w:cs="Arial"/>
          <w:szCs w:val="24"/>
        </w:rPr>
        <w:t>3</w:t>
      </w:r>
      <w:r w:rsidRPr="00075AE7">
        <w:rPr>
          <w:rFonts w:eastAsia="Calibri" w:cs="Arial"/>
          <w:szCs w:val="24"/>
        </w:rPr>
        <w:t>. godinu („Službene novine Federacije Bosne i Hercegovine“, br</w:t>
      </w:r>
      <w:r w:rsidR="00260625">
        <w:rPr>
          <w:rFonts w:eastAsia="Calibri" w:cs="Arial"/>
          <w:szCs w:val="24"/>
        </w:rPr>
        <w:t xml:space="preserve">oj </w:t>
      </w:r>
      <w:r w:rsidR="006A0D40">
        <w:rPr>
          <w:rFonts w:eastAsia="Calibri" w:cs="Arial"/>
          <w:szCs w:val="24"/>
        </w:rPr>
        <w:t>6</w:t>
      </w:r>
      <w:r w:rsidR="00260625">
        <w:rPr>
          <w:rFonts w:eastAsia="Calibri" w:cs="Arial"/>
          <w:szCs w:val="24"/>
        </w:rPr>
        <w:t>/2</w:t>
      </w:r>
      <w:r w:rsidR="006A0D40">
        <w:rPr>
          <w:rFonts w:eastAsia="Calibri" w:cs="Arial"/>
          <w:szCs w:val="24"/>
        </w:rPr>
        <w:t>3</w:t>
      </w:r>
      <w:r w:rsidRPr="00075AE7">
        <w:rPr>
          <w:rFonts w:eastAsia="Calibri" w:cs="Arial"/>
          <w:szCs w:val="24"/>
        </w:rPr>
        <w:t>);</w:t>
      </w:r>
    </w:p>
    <w:p w:rsidR="008E22B6" w:rsidRDefault="008E22B6" w:rsidP="008E22B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 w:cs="Arial"/>
          <w:szCs w:val="24"/>
        </w:rPr>
      </w:pPr>
      <w:r w:rsidRPr="00075AE7">
        <w:rPr>
          <w:rFonts w:eastAsia="Calibri" w:cs="Arial"/>
          <w:szCs w:val="24"/>
        </w:rPr>
        <w:t>Zakon o izvršavanju Budžeta Federa</w:t>
      </w:r>
      <w:r w:rsidR="00260625">
        <w:rPr>
          <w:rFonts w:eastAsia="Calibri" w:cs="Arial"/>
          <w:szCs w:val="24"/>
        </w:rPr>
        <w:t>cije Bosne i Hercegovine za 202</w:t>
      </w:r>
      <w:r w:rsidR="006A0D40">
        <w:rPr>
          <w:rFonts w:eastAsia="Calibri" w:cs="Arial"/>
          <w:szCs w:val="24"/>
        </w:rPr>
        <w:t>3</w:t>
      </w:r>
      <w:r w:rsidRPr="00075AE7">
        <w:rPr>
          <w:rFonts w:eastAsia="Calibri" w:cs="Arial"/>
          <w:szCs w:val="24"/>
        </w:rPr>
        <w:t>. godinu („Službene novine Federacije Bosne i Hercegovine“, br</w:t>
      </w:r>
      <w:r w:rsidR="00260625">
        <w:rPr>
          <w:rFonts w:eastAsia="Calibri" w:cs="Arial"/>
          <w:szCs w:val="24"/>
        </w:rPr>
        <w:t xml:space="preserve">oj </w:t>
      </w:r>
      <w:r w:rsidR="00D11ED5">
        <w:rPr>
          <w:rFonts w:eastAsia="Calibri" w:cs="Arial"/>
          <w:szCs w:val="24"/>
        </w:rPr>
        <w:t>6</w:t>
      </w:r>
      <w:r w:rsidR="00260625">
        <w:rPr>
          <w:rFonts w:eastAsia="Calibri" w:cs="Arial"/>
          <w:szCs w:val="24"/>
        </w:rPr>
        <w:t>/2</w:t>
      </w:r>
      <w:r w:rsidR="00D11ED5">
        <w:rPr>
          <w:rFonts w:eastAsia="Calibri" w:cs="Arial"/>
          <w:szCs w:val="24"/>
        </w:rPr>
        <w:t>3</w:t>
      </w:r>
      <w:r w:rsidR="00876386">
        <w:rPr>
          <w:rFonts w:eastAsia="Calibri" w:cs="Arial"/>
          <w:szCs w:val="24"/>
        </w:rPr>
        <w:t>).</w:t>
      </w:r>
    </w:p>
    <w:p w:rsidR="00543CFB" w:rsidRDefault="00543CFB" w:rsidP="00870FB8">
      <w:pPr>
        <w:autoSpaceDE w:val="0"/>
        <w:autoSpaceDN w:val="0"/>
        <w:adjustRightInd w:val="0"/>
        <w:ind w:left="720"/>
        <w:jc w:val="both"/>
        <w:rPr>
          <w:rFonts w:eastAsia="Calibri" w:cs="Arial"/>
          <w:sz w:val="20"/>
          <w:szCs w:val="20"/>
        </w:rPr>
      </w:pPr>
    </w:p>
    <w:tbl>
      <w:tblPr>
        <w:tblStyle w:val="TableGrid"/>
        <w:tblW w:w="9317" w:type="dxa"/>
        <w:tblBorders>
          <w:top w:val="none" w:sz="0" w:space="0" w:color="auto"/>
          <w:left w:val="none" w:sz="0" w:space="0" w:color="auto"/>
          <w:bottom w:val="thinThickSmallGap" w:sz="24" w:space="0" w:color="FFC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7"/>
      </w:tblGrid>
      <w:tr w:rsidR="00870FB8" w:rsidRPr="00870FB8" w:rsidTr="00E94387">
        <w:trPr>
          <w:trHeight w:val="379"/>
        </w:trPr>
        <w:tc>
          <w:tcPr>
            <w:tcW w:w="9317" w:type="dxa"/>
            <w:vAlign w:val="center"/>
          </w:tcPr>
          <w:p w:rsidR="00870FB8" w:rsidRPr="00870FB8" w:rsidRDefault="00870FB8" w:rsidP="00870FB8">
            <w:pPr>
              <w:rPr>
                <w:b/>
                <w:noProof/>
                <w:sz w:val="24"/>
                <w:szCs w:val="24"/>
                <w:lang w:val="hr-HR"/>
              </w:rPr>
            </w:pPr>
            <w:r w:rsidRPr="00870FB8">
              <w:rPr>
                <w:b/>
                <w:noProof/>
                <w:sz w:val="24"/>
                <w:szCs w:val="24"/>
                <w:lang w:val="hr-HR"/>
              </w:rPr>
              <w:t xml:space="preserve">4. CILJ </w:t>
            </w:r>
            <w:r w:rsidR="00FB76ED">
              <w:rPr>
                <w:b/>
                <w:noProof/>
                <w:sz w:val="24"/>
                <w:szCs w:val="24"/>
                <w:lang w:val="hr-HR"/>
              </w:rPr>
              <w:t xml:space="preserve">I NAMJENA </w:t>
            </w:r>
            <w:r w:rsidRPr="00870FB8">
              <w:rPr>
                <w:b/>
                <w:noProof/>
                <w:sz w:val="24"/>
                <w:szCs w:val="24"/>
                <w:lang w:val="hr-HR"/>
              </w:rPr>
              <w:t>PROGRAMA</w:t>
            </w:r>
          </w:p>
        </w:tc>
      </w:tr>
    </w:tbl>
    <w:p w:rsidR="00870FB8" w:rsidRPr="00E00BD2" w:rsidRDefault="00821980" w:rsidP="00821980">
      <w:pPr>
        <w:keepNext/>
        <w:shd w:val="clear" w:color="auto" w:fill="FFFFFF"/>
        <w:spacing w:before="240"/>
        <w:jc w:val="both"/>
        <w:outlineLvl w:val="0"/>
        <w:rPr>
          <w:rFonts w:eastAsia="Calibri" w:cs="Arial"/>
          <w:szCs w:val="24"/>
        </w:rPr>
      </w:pPr>
      <w:r w:rsidRPr="00AB1436">
        <w:rPr>
          <w:rFonts w:eastAsia="Calibri" w:cs="Arial"/>
          <w:szCs w:val="24"/>
        </w:rPr>
        <w:t xml:space="preserve">Program utroška sredstava </w:t>
      </w:r>
      <w:r w:rsidR="00AB1436" w:rsidRPr="00AB1436">
        <w:rPr>
          <w:rFonts w:eastAsia="Calibri" w:cs="Arial"/>
          <w:szCs w:val="24"/>
        </w:rPr>
        <w:t>utvrđenih u razdjelu 17. Budžeta Federacije Bosne i Hercegovine za 202</w:t>
      </w:r>
      <w:r w:rsidR="00D11ED5">
        <w:rPr>
          <w:rFonts w:eastAsia="Calibri" w:cs="Arial"/>
          <w:szCs w:val="24"/>
        </w:rPr>
        <w:t>3</w:t>
      </w:r>
      <w:r w:rsidR="00AB1436" w:rsidRPr="00AB1436">
        <w:rPr>
          <w:rFonts w:eastAsia="Calibri" w:cs="Arial"/>
          <w:szCs w:val="24"/>
        </w:rPr>
        <w:t>. godinu Federalnom ministarstvu energije, rudarstva i industrije „Tekući transferi i drugi tekući rashodi - Subvencije javnim preduzećima</w:t>
      </w:r>
      <w:r w:rsidR="002B32FB">
        <w:rPr>
          <w:rFonts w:eastAsia="Calibri" w:cs="Arial"/>
          <w:szCs w:val="24"/>
        </w:rPr>
        <w:t xml:space="preserve"> </w:t>
      </w:r>
      <w:r w:rsidR="00AB1436" w:rsidRPr="00AB1436">
        <w:rPr>
          <w:rFonts w:eastAsia="Calibri" w:cs="Arial"/>
          <w:szCs w:val="24"/>
        </w:rPr>
        <w:t>- za uvezivanje radnog staža“</w:t>
      </w:r>
      <w:r w:rsidRPr="002F35FA">
        <w:rPr>
          <w:rFonts w:eastAsia="Calibri" w:cs="Arial"/>
          <w:bCs/>
          <w:color w:val="000000"/>
          <w:szCs w:val="24"/>
        </w:rPr>
        <w:t xml:space="preserve"> </w:t>
      </w:r>
      <w:r w:rsidR="00870FB8" w:rsidRPr="002F35FA">
        <w:rPr>
          <w:rFonts w:eastAsia="Times New Roman" w:cs="Arial"/>
          <w:bCs/>
          <w:color w:val="000000"/>
          <w:szCs w:val="24"/>
        </w:rPr>
        <w:t>(u daljem tekstu: Program)</w:t>
      </w:r>
      <w:r w:rsidR="00AB1436">
        <w:rPr>
          <w:rFonts w:eastAsia="Times New Roman" w:cs="Arial"/>
          <w:bCs/>
          <w:color w:val="000000"/>
          <w:szCs w:val="24"/>
        </w:rPr>
        <w:t>,</w:t>
      </w:r>
      <w:r w:rsidR="00870FB8" w:rsidRPr="002F35FA">
        <w:rPr>
          <w:rFonts w:eastAsia="Calibri" w:cs="Arial"/>
          <w:szCs w:val="24"/>
        </w:rPr>
        <w:t xml:space="preserve"> </w:t>
      </w:r>
      <w:r w:rsidR="00A01B1E" w:rsidRPr="002F35FA">
        <w:rPr>
          <w:rFonts w:eastAsia="Calibri" w:cs="Arial"/>
          <w:szCs w:val="24"/>
        </w:rPr>
        <w:t xml:space="preserve">ima </w:t>
      </w:r>
      <w:r w:rsidR="00B31D74" w:rsidRPr="002F35FA">
        <w:rPr>
          <w:rFonts w:eastAsia="Calibri" w:cs="Arial"/>
          <w:szCs w:val="24"/>
        </w:rPr>
        <w:t xml:space="preserve">prvenstveno </w:t>
      </w:r>
      <w:r w:rsidR="00A01B1E" w:rsidRPr="002F35FA">
        <w:rPr>
          <w:rFonts w:eastAsia="Calibri" w:cs="Arial"/>
          <w:szCs w:val="24"/>
        </w:rPr>
        <w:t>za cilj</w:t>
      </w:r>
      <w:r w:rsidR="00870FB8" w:rsidRPr="002F35FA">
        <w:rPr>
          <w:rFonts w:eastAsia="Calibri" w:cs="Arial"/>
          <w:szCs w:val="24"/>
        </w:rPr>
        <w:t xml:space="preserve"> </w:t>
      </w:r>
      <w:r w:rsidR="00AE48EF">
        <w:rPr>
          <w:rFonts w:eastAsia="Calibri" w:cs="Arial"/>
          <w:szCs w:val="24"/>
        </w:rPr>
        <w:t>očuvanje</w:t>
      </w:r>
      <w:r w:rsidR="00993158">
        <w:rPr>
          <w:rFonts w:eastAsia="Calibri" w:cs="Arial"/>
          <w:szCs w:val="24"/>
        </w:rPr>
        <w:t xml:space="preserve"> socijalnog mira koji se kroz ovaj Program</w:t>
      </w:r>
      <w:r w:rsidR="00AE48EF">
        <w:rPr>
          <w:rFonts w:eastAsia="Calibri" w:cs="Arial"/>
          <w:szCs w:val="24"/>
        </w:rPr>
        <w:t xml:space="preserve"> realizira zbrinjavanjem radnika koji ne mogu steći pravo na odlazak u penziju</w:t>
      </w:r>
      <w:r w:rsidR="00D11ED5">
        <w:rPr>
          <w:rFonts w:eastAsia="Calibri" w:cs="Arial"/>
          <w:szCs w:val="24"/>
        </w:rPr>
        <w:t>,</w:t>
      </w:r>
      <w:r w:rsidR="00AE48EF">
        <w:rPr>
          <w:rFonts w:eastAsia="Calibri" w:cs="Arial"/>
          <w:szCs w:val="24"/>
        </w:rPr>
        <w:t xml:space="preserve"> </w:t>
      </w:r>
      <w:r w:rsidR="00D11ED5" w:rsidRPr="00E00BD2">
        <w:rPr>
          <w:rFonts w:eastAsia="Calibri" w:cs="Arial"/>
          <w:szCs w:val="24"/>
        </w:rPr>
        <w:t xml:space="preserve">obzirom da </w:t>
      </w:r>
      <w:r w:rsidR="00AE48EF" w:rsidRPr="00E00BD2">
        <w:rPr>
          <w:rFonts w:eastAsia="Calibri" w:cs="Arial"/>
          <w:szCs w:val="24"/>
        </w:rPr>
        <w:t>im nije uplaćen radni staž</w:t>
      </w:r>
      <w:r w:rsidR="00AF63CE" w:rsidRPr="00E00BD2">
        <w:rPr>
          <w:rFonts w:eastAsia="Calibri" w:cs="Arial"/>
          <w:szCs w:val="24"/>
        </w:rPr>
        <w:t>.</w:t>
      </w:r>
      <w:r w:rsidR="00AE48EF" w:rsidRPr="00E00BD2">
        <w:rPr>
          <w:rFonts w:eastAsia="Calibri" w:cs="Arial"/>
          <w:szCs w:val="24"/>
        </w:rPr>
        <w:t xml:space="preserve"> </w:t>
      </w:r>
    </w:p>
    <w:p w:rsidR="00B417AE" w:rsidRPr="00E00BD2" w:rsidRDefault="00B31D74" w:rsidP="004D32E7">
      <w:pPr>
        <w:jc w:val="both"/>
        <w:rPr>
          <w:rFonts w:eastAsia="Calibri" w:cs="Arial"/>
          <w:szCs w:val="24"/>
        </w:rPr>
      </w:pPr>
      <w:r w:rsidRPr="00E00BD2">
        <w:rPr>
          <w:rFonts w:eastAsia="Calibri" w:cs="Arial"/>
          <w:szCs w:val="24"/>
        </w:rPr>
        <w:t>Raspoloživa</w:t>
      </w:r>
      <w:r w:rsidR="00870FB8" w:rsidRPr="00E00BD2">
        <w:rPr>
          <w:rFonts w:eastAsia="Calibri" w:cs="Arial"/>
          <w:szCs w:val="24"/>
        </w:rPr>
        <w:t xml:space="preserve"> sredstva</w:t>
      </w:r>
      <w:r w:rsidR="00876386" w:rsidRPr="00E00BD2">
        <w:rPr>
          <w:rFonts w:eastAsia="Calibri" w:cs="Arial"/>
          <w:szCs w:val="24"/>
        </w:rPr>
        <w:t xml:space="preserve"> </w:t>
      </w:r>
      <w:r w:rsidR="00870FB8" w:rsidRPr="00E00BD2">
        <w:rPr>
          <w:rFonts w:eastAsia="Calibri" w:cs="Arial"/>
          <w:szCs w:val="24"/>
        </w:rPr>
        <w:t xml:space="preserve">su grant sredstva i dodjeljuju se za izmirenje dugovanja </w:t>
      </w:r>
      <w:r w:rsidR="00927B88" w:rsidRPr="00E00BD2">
        <w:rPr>
          <w:rFonts w:eastAsia="Calibri" w:cs="Arial"/>
          <w:szCs w:val="24"/>
        </w:rPr>
        <w:t xml:space="preserve"> preduzeća </w:t>
      </w:r>
      <w:r w:rsidR="00870FB8" w:rsidRPr="00E00BD2">
        <w:rPr>
          <w:rFonts w:eastAsia="Calibri" w:cs="Arial"/>
          <w:szCs w:val="24"/>
        </w:rPr>
        <w:t xml:space="preserve">za neuplaćene doprinose samo </w:t>
      </w:r>
      <w:r w:rsidR="00A01B1E" w:rsidRPr="00E00BD2">
        <w:rPr>
          <w:rFonts w:eastAsia="Calibri" w:cs="Arial"/>
          <w:szCs w:val="24"/>
        </w:rPr>
        <w:t>po</w:t>
      </w:r>
      <w:r w:rsidR="00870FB8" w:rsidRPr="00E00BD2">
        <w:rPr>
          <w:rFonts w:eastAsia="Calibri" w:cs="Arial"/>
          <w:szCs w:val="24"/>
        </w:rPr>
        <w:t xml:space="preserve"> osnovu </w:t>
      </w:r>
      <w:r w:rsidR="00D11ED5" w:rsidRPr="00E00BD2">
        <w:rPr>
          <w:rFonts w:eastAsia="Calibri" w:cs="Arial"/>
          <w:szCs w:val="24"/>
        </w:rPr>
        <w:t xml:space="preserve">doprinosa za </w:t>
      </w:r>
      <w:r w:rsidR="00870FB8" w:rsidRPr="00E00BD2">
        <w:rPr>
          <w:rFonts w:eastAsia="Calibri" w:cs="Arial"/>
          <w:szCs w:val="24"/>
        </w:rPr>
        <w:t>PIO/MIO</w:t>
      </w:r>
      <w:r w:rsidR="00E26468" w:rsidRPr="00E00BD2">
        <w:rPr>
          <w:rFonts w:eastAsia="Calibri" w:cs="Arial"/>
          <w:szCs w:val="24"/>
        </w:rPr>
        <w:t xml:space="preserve"> i </w:t>
      </w:r>
      <w:r w:rsidR="00AF63CE" w:rsidRPr="00E00BD2">
        <w:rPr>
          <w:rFonts w:eastAsia="Calibri" w:cs="Arial"/>
          <w:szCs w:val="24"/>
        </w:rPr>
        <w:t xml:space="preserve">to </w:t>
      </w:r>
      <w:r w:rsidR="00E26468" w:rsidRPr="00E00BD2">
        <w:rPr>
          <w:rFonts w:eastAsia="Calibri" w:cs="Arial"/>
          <w:szCs w:val="24"/>
        </w:rPr>
        <w:t>za</w:t>
      </w:r>
      <w:r w:rsidR="00870FB8" w:rsidRPr="00E00BD2">
        <w:rPr>
          <w:rFonts w:eastAsia="Calibri" w:cs="Arial"/>
          <w:szCs w:val="24"/>
        </w:rPr>
        <w:t xml:space="preserve"> </w:t>
      </w:r>
      <w:r w:rsidR="00CC35E9" w:rsidRPr="00E00BD2">
        <w:rPr>
          <w:rFonts w:eastAsia="Calibri" w:cs="Arial"/>
          <w:szCs w:val="24"/>
        </w:rPr>
        <w:t>radni</w:t>
      </w:r>
      <w:r w:rsidR="00E26468" w:rsidRPr="00E00BD2">
        <w:rPr>
          <w:rFonts w:eastAsia="Calibri" w:cs="Arial"/>
          <w:szCs w:val="24"/>
        </w:rPr>
        <w:t xml:space="preserve">ke koji će sa </w:t>
      </w:r>
      <w:r w:rsidR="00176E55" w:rsidRPr="00E00BD2">
        <w:rPr>
          <w:rFonts w:eastAsia="Calibri" w:cs="Arial"/>
          <w:szCs w:val="24"/>
        </w:rPr>
        <w:t>stažom osiguranja za koji će biti uplaćen</w:t>
      </w:r>
      <w:r w:rsidR="00D11ED5" w:rsidRPr="00E00BD2">
        <w:rPr>
          <w:rFonts w:eastAsia="Calibri" w:cs="Arial"/>
          <w:szCs w:val="24"/>
        </w:rPr>
        <w:t>i</w:t>
      </w:r>
      <w:r w:rsidR="00176E55" w:rsidRPr="00E00BD2">
        <w:rPr>
          <w:rFonts w:eastAsia="Calibri" w:cs="Arial"/>
          <w:szCs w:val="24"/>
        </w:rPr>
        <w:t xml:space="preserve"> doprinos</w:t>
      </w:r>
      <w:r w:rsidR="00D11ED5" w:rsidRPr="00E00BD2">
        <w:rPr>
          <w:rFonts w:eastAsia="Calibri" w:cs="Arial"/>
          <w:szCs w:val="24"/>
        </w:rPr>
        <w:t>i</w:t>
      </w:r>
      <w:r w:rsidR="00176E55" w:rsidRPr="00E00BD2">
        <w:rPr>
          <w:rFonts w:eastAsia="Calibri" w:cs="Arial"/>
          <w:szCs w:val="24"/>
        </w:rPr>
        <w:t xml:space="preserve"> za PIO/MIO</w:t>
      </w:r>
      <w:r w:rsidR="00E26468" w:rsidRPr="00E00BD2">
        <w:rPr>
          <w:rFonts w:eastAsia="Calibri" w:cs="Arial"/>
          <w:szCs w:val="24"/>
        </w:rPr>
        <w:t xml:space="preserve">, </w:t>
      </w:r>
      <w:r w:rsidR="00AF63CE" w:rsidRPr="00E00BD2">
        <w:rPr>
          <w:rFonts w:eastAsia="Calibri" w:cs="Arial"/>
          <w:szCs w:val="24"/>
        </w:rPr>
        <w:t>nakon uplate</w:t>
      </w:r>
      <w:r w:rsidR="00E26468" w:rsidRPr="00E00BD2">
        <w:rPr>
          <w:rFonts w:eastAsia="Calibri" w:cs="Arial"/>
          <w:szCs w:val="24"/>
        </w:rPr>
        <w:t>, ispunjavati uslove za ostvarivanje prava za penzionisanje</w:t>
      </w:r>
      <w:r w:rsidR="00265A70" w:rsidRPr="00E00BD2">
        <w:rPr>
          <w:rFonts w:eastAsia="Calibri" w:cs="Arial"/>
          <w:szCs w:val="24"/>
        </w:rPr>
        <w:t>, po bilo kojem osnovu.</w:t>
      </w:r>
      <w:r w:rsidR="00A54043" w:rsidRPr="00E00BD2">
        <w:rPr>
          <w:rFonts w:eastAsia="Calibri" w:cs="Arial"/>
          <w:szCs w:val="24"/>
        </w:rPr>
        <w:t xml:space="preserve"> </w:t>
      </w:r>
    </w:p>
    <w:p w:rsidR="00927B88" w:rsidRPr="00E00BD2" w:rsidRDefault="00927B88" w:rsidP="004D32E7">
      <w:pPr>
        <w:jc w:val="both"/>
        <w:rPr>
          <w:rFonts w:eastAsia="Calibri" w:cs="Arial"/>
          <w:szCs w:val="24"/>
        </w:rPr>
      </w:pPr>
      <w:r w:rsidRPr="00E00BD2">
        <w:rPr>
          <w:rFonts w:eastAsia="Calibri" w:cs="Arial"/>
          <w:szCs w:val="24"/>
        </w:rPr>
        <w:t>Napomena:</w:t>
      </w:r>
    </w:p>
    <w:p w:rsidR="00265A70" w:rsidRPr="00533187" w:rsidRDefault="00927B88" w:rsidP="00927B88">
      <w:pPr>
        <w:jc w:val="both"/>
        <w:rPr>
          <w:rFonts w:eastAsia="Calibri" w:cs="Arial"/>
          <w:szCs w:val="24"/>
        </w:rPr>
      </w:pPr>
      <w:r w:rsidRPr="00E00BD2">
        <w:rPr>
          <w:rFonts w:eastAsia="Calibri" w:cs="Arial"/>
          <w:szCs w:val="24"/>
        </w:rPr>
        <w:t xml:space="preserve">Izuzetak od naprijed navedenog su preduzeća koja su u procesu likvidacije a kojima se dodjeljuju sredstva za izmirenje dugovanja  preduzeća za neuplaćene doprinose po osnovu </w:t>
      </w:r>
      <w:r w:rsidR="00A05DB0" w:rsidRPr="00E00BD2">
        <w:rPr>
          <w:rFonts w:eastAsia="Calibri" w:cs="Arial"/>
          <w:szCs w:val="24"/>
        </w:rPr>
        <w:t>dugovanja</w:t>
      </w:r>
      <w:r w:rsidR="00D11ED5" w:rsidRPr="00E00BD2">
        <w:rPr>
          <w:rFonts w:eastAsia="Calibri" w:cs="Arial"/>
          <w:szCs w:val="24"/>
        </w:rPr>
        <w:t xml:space="preserve"> za </w:t>
      </w:r>
      <w:r w:rsidRPr="00E00BD2">
        <w:rPr>
          <w:rFonts w:eastAsia="Calibri" w:cs="Arial"/>
          <w:szCs w:val="24"/>
        </w:rPr>
        <w:t xml:space="preserve">PIO/MIO, zdravstvenog osiguranja </w:t>
      </w:r>
      <w:r w:rsidRPr="00533187">
        <w:rPr>
          <w:rFonts w:eastAsia="Calibri" w:cs="Arial"/>
          <w:szCs w:val="24"/>
        </w:rPr>
        <w:t>i osiguranja od nezaposlenosti i to za radnike koji će sa stažom osiguranja za koji će biti uplaćeni navedeni doprinosi, nakon uplate, ispunjavati uslove za ostva</w:t>
      </w:r>
      <w:r w:rsidR="00533187" w:rsidRPr="00533187">
        <w:rPr>
          <w:rFonts w:eastAsia="Calibri" w:cs="Arial"/>
          <w:szCs w:val="24"/>
        </w:rPr>
        <w:t xml:space="preserve">rivanje prava za penzionisanje, </w:t>
      </w:r>
      <w:r w:rsidR="007E6D1E" w:rsidRPr="00533187">
        <w:rPr>
          <w:rFonts w:eastAsia="Calibri" w:cs="Arial"/>
          <w:szCs w:val="24"/>
        </w:rPr>
        <w:t>po bilo kojem osnovu</w:t>
      </w:r>
      <w:r w:rsidRPr="00533187">
        <w:rPr>
          <w:rFonts w:eastAsia="Calibri" w:cs="Arial"/>
          <w:szCs w:val="24"/>
        </w:rPr>
        <w:t>.</w:t>
      </w:r>
    </w:p>
    <w:p w:rsidR="00870FB8" w:rsidRDefault="00870FB8" w:rsidP="00870FB8">
      <w:pPr>
        <w:jc w:val="both"/>
        <w:rPr>
          <w:rFonts w:eastAsia="Calibri" w:cs="Arial"/>
          <w:szCs w:val="24"/>
        </w:rPr>
      </w:pPr>
      <w:r w:rsidRPr="00870FB8">
        <w:rPr>
          <w:rFonts w:eastAsia="Calibri" w:cs="Arial"/>
          <w:szCs w:val="24"/>
        </w:rPr>
        <w:t xml:space="preserve">Rezultat provođenja </w:t>
      </w:r>
      <w:r w:rsidR="00033BAF">
        <w:rPr>
          <w:rFonts w:eastAsia="Calibri" w:cs="Arial"/>
          <w:szCs w:val="24"/>
        </w:rPr>
        <w:t xml:space="preserve">ovog </w:t>
      </w:r>
      <w:r w:rsidR="00D11ED5">
        <w:rPr>
          <w:rFonts w:eastAsia="Calibri" w:cs="Arial"/>
          <w:szCs w:val="24"/>
        </w:rPr>
        <w:t>Programa</w:t>
      </w:r>
      <w:r w:rsidRPr="00870FB8">
        <w:rPr>
          <w:rFonts w:eastAsia="Calibri" w:cs="Arial"/>
          <w:szCs w:val="24"/>
        </w:rPr>
        <w:t xml:space="preserve"> </w:t>
      </w:r>
      <w:r w:rsidR="006B69A0">
        <w:rPr>
          <w:rFonts w:eastAsia="Calibri" w:cs="Arial"/>
          <w:szCs w:val="24"/>
        </w:rPr>
        <w:t>je</w:t>
      </w:r>
      <w:r w:rsidRPr="00870FB8">
        <w:rPr>
          <w:rFonts w:eastAsia="Calibri" w:cs="Arial"/>
          <w:szCs w:val="24"/>
        </w:rPr>
        <w:t xml:space="preserve"> rješavanje socijalnog statusa </w:t>
      </w:r>
      <w:r w:rsidR="00923408">
        <w:rPr>
          <w:rFonts w:eastAsia="Calibri" w:cs="Arial"/>
          <w:szCs w:val="24"/>
        </w:rPr>
        <w:t>za</w:t>
      </w:r>
      <w:r w:rsidRPr="00870FB8">
        <w:rPr>
          <w:rFonts w:eastAsia="Calibri" w:cs="Arial"/>
          <w:szCs w:val="24"/>
        </w:rPr>
        <w:t>poslenika, kroz penzionisanje.</w:t>
      </w:r>
    </w:p>
    <w:p w:rsidR="006D0881" w:rsidRPr="00B417AE" w:rsidRDefault="006D0881" w:rsidP="00870FB8">
      <w:pPr>
        <w:jc w:val="both"/>
        <w:rPr>
          <w:rFonts w:eastAsia="Calibri" w:cs="Arial"/>
          <w:szCs w:val="24"/>
        </w:rPr>
      </w:pPr>
      <w:r w:rsidRPr="00B417AE">
        <w:rPr>
          <w:rFonts w:eastAsia="Calibri" w:cs="Arial"/>
          <w:szCs w:val="24"/>
        </w:rPr>
        <w:t xml:space="preserve">Dodjela sredstava </w:t>
      </w:r>
      <w:r w:rsidR="001C3574" w:rsidRPr="00B417AE">
        <w:rPr>
          <w:rFonts w:eastAsia="Calibri" w:cs="Arial"/>
          <w:szCs w:val="24"/>
        </w:rPr>
        <w:t xml:space="preserve">će se vršiti </w:t>
      </w:r>
      <w:r w:rsidRPr="00B417AE">
        <w:rPr>
          <w:rFonts w:eastAsia="Calibri" w:cs="Arial"/>
          <w:szCs w:val="24"/>
        </w:rPr>
        <w:t>za izmiren</w:t>
      </w:r>
      <w:r w:rsidR="0003290B" w:rsidRPr="00B417AE">
        <w:rPr>
          <w:rFonts w:eastAsia="Calibri" w:cs="Arial"/>
          <w:szCs w:val="24"/>
        </w:rPr>
        <w:t>je dugovanja privrednog društva</w:t>
      </w:r>
      <w:r w:rsidR="00FA2FCA" w:rsidRPr="00B417AE">
        <w:rPr>
          <w:rFonts w:eastAsia="Calibri" w:cs="Arial"/>
          <w:szCs w:val="24"/>
        </w:rPr>
        <w:t xml:space="preserve">, </w:t>
      </w:r>
      <w:r w:rsidRPr="00B417AE">
        <w:rPr>
          <w:rFonts w:eastAsia="Calibri" w:cs="Arial"/>
          <w:szCs w:val="24"/>
        </w:rPr>
        <w:t xml:space="preserve">za neuplaćene doprinose </w:t>
      </w:r>
      <w:r w:rsidR="0070206C" w:rsidRPr="00B417AE">
        <w:rPr>
          <w:rFonts w:eastAsia="Calibri" w:cs="Arial"/>
          <w:szCs w:val="24"/>
        </w:rPr>
        <w:t xml:space="preserve">samo </w:t>
      </w:r>
      <w:r w:rsidRPr="00B417AE">
        <w:rPr>
          <w:rFonts w:eastAsia="Calibri" w:cs="Arial"/>
          <w:szCs w:val="24"/>
        </w:rPr>
        <w:t xml:space="preserve">po osnovu PIO/MIO </w:t>
      </w:r>
      <w:r w:rsidR="00FA2FCA" w:rsidRPr="00B417AE">
        <w:rPr>
          <w:rFonts w:eastAsia="Calibri" w:cs="Arial"/>
          <w:szCs w:val="24"/>
        </w:rPr>
        <w:t>za radnike</w:t>
      </w:r>
      <w:r w:rsidRPr="00B417AE">
        <w:rPr>
          <w:rFonts w:eastAsia="Calibri" w:cs="Arial"/>
          <w:szCs w:val="24"/>
        </w:rPr>
        <w:t xml:space="preserve"> koji su do dana podnošenja zahtjeva za dodjelu sredstava podnijeli zahtjev </w:t>
      </w:r>
      <w:r w:rsidR="00D613FB" w:rsidRPr="00B417AE">
        <w:rPr>
          <w:rFonts w:eastAsia="Calibri" w:cs="Arial"/>
          <w:szCs w:val="24"/>
        </w:rPr>
        <w:t xml:space="preserve">Federalnom Zavodu PIO/MIO </w:t>
      </w:r>
      <w:r w:rsidRPr="00B417AE">
        <w:rPr>
          <w:rFonts w:eastAsia="Calibri" w:cs="Arial"/>
          <w:szCs w:val="24"/>
        </w:rPr>
        <w:t>za penzionisanje, po bilo kojem osnovu.</w:t>
      </w:r>
    </w:p>
    <w:p w:rsidR="000923AF" w:rsidRPr="00B417AE" w:rsidRDefault="000923AF" w:rsidP="00870FB8">
      <w:pPr>
        <w:jc w:val="both"/>
        <w:rPr>
          <w:rFonts w:eastAsia="Calibri" w:cs="Arial"/>
          <w:szCs w:val="24"/>
        </w:rPr>
      </w:pPr>
      <w:r w:rsidRPr="00B417AE">
        <w:rPr>
          <w:rFonts w:eastAsia="Calibri" w:cs="Arial"/>
          <w:szCs w:val="24"/>
        </w:rPr>
        <w:t>Napomena:</w:t>
      </w:r>
    </w:p>
    <w:p w:rsidR="000923AF" w:rsidRDefault="000923AF" w:rsidP="000923AF">
      <w:pPr>
        <w:jc w:val="both"/>
        <w:rPr>
          <w:rFonts w:eastAsia="Calibri" w:cs="Arial"/>
          <w:szCs w:val="24"/>
        </w:rPr>
      </w:pPr>
      <w:r w:rsidRPr="00866FB2">
        <w:rPr>
          <w:rFonts w:eastAsia="Calibri" w:cs="Arial"/>
          <w:szCs w:val="24"/>
        </w:rPr>
        <w:t xml:space="preserve">Dodjela sredstava privrednim društvima, koja su u procesu likvidacije, će se vršiti za izmirenje </w:t>
      </w:r>
      <w:r w:rsidR="00D11ED5">
        <w:rPr>
          <w:rFonts w:eastAsia="Calibri" w:cs="Arial"/>
          <w:szCs w:val="24"/>
        </w:rPr>
        <w:t>dugovanja privrednog društva</w:t>
      </w:r>
      <w:r w:rsidRPr="00866FB2">
        <w:rPr>
          <w:rFonts w:eastAsia="Calibri" w:cs="Arial"/>
          <w:szCs w:val="24"/>
        </w:rPr>
        <w:t xml:space="preserve"> za neuplaćene doprinose po osnovu PIO/MIO, zdravstvenog osiguranja i osiguranja od nezaposlenosti, za radnike koji su do dana podnošenja zahtjeva za </w:t>
      </w:r>
      <w:r w:rsidRPr="00E00BD2">
        <w:rPr>
          <w:rFonts w:eastAsia="Calibri" w:cs="Arial"/>
          <w:szCs w:val="24"/>
        </w:rPr>
        <w:t xml:space="preserve">dodjelu </w:t>
      </w:r>
      <w:r w:rsidR="00D11ED5" w:rsidRPr="00E00BD2">
        <w:rPr>
          <w:rFonts w:eastAsia="Calibri" w:cs="Arial"/>
          <w:szCs w:val="24"/>
        </w:rPr>
        <w:t xml:space="preserve">grant </w:t>
      </w:r>
      <w:r w:rsidRPr="00E00BD2">
        <w:rPr>
          <w:rFonts w:eastAsia="Calibri" w:cs="Arial"/>
          <w:szCs w:val="24"/>
        </w:rPr>
        <w:t xml:space="preserve">sredstava podnijeli zahtjev Federalnom Zavodu PIO/MIO za penzionisanje, po bilo kojem </w:t>
      </w:r>
      <w:r w:rsidRPr="00866FB2">
        <w:rPr>
          <w:rFonts w:eastAsia="Calibri" w:cs="Arial"/>
          <w:szCs w:val="24"/>
        </w:rPr>
        <w:t>osnovu.</w:t>
      </w:r>
    </w:p>
    <w:p w:rsidR="006D0881" w:rsidRDefault="006D0881" w:rsidP="00870FB8">
      <w:p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 </w:t>
      </w:r>
    </w:p>
    <w:tbl>
      <w:tblPr>
        <w:tblStyle w:val="TableGrid1"/>
        <w:tblW w:w="9301" w:type="dxa"/>
        <w:tblBorders>
          <w:top w:val="none" w:sz="0" w:space="0" w:color="auto"/>
          <w:left w:val="none" w:sz="0" w:space="0" w:color="auto"/>
          <w:bottom w:val="thinThickSmallGap" w:sz="24" w:space="0" w:color="FFC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1"/>
      </w:tblGrid>
      <w:tr w:rsidR="00870FB8" w:rsidRPr="00870FB8" w:rsidTr="00E94387">
        <w:trPr>
          <w:trHeight w:val="379"/>
        </w:trPr>
        <w:tc>
          <w:tcPr>
            <w:tcW w:w="9301" w:type="dxa"/>
            <w:vAlign w:val="center"/>
          </w:tcPr>
          <w:p w:rsidR="00870FB8" w:rsidRPr="00870FB8" w:rsidRDefault="00870FB8" w:rsidP="00FB76ED">
            <w:pPr>
              <w:rPr>
                <w:b/>
                <w:noProof/>
                <w:sz w:val="24"/>
                <w:szCs w:val="24"/>
                <w:lang w:val="hr-HR"/>
              </w:rPr>
            </w:pPr>
            <w:r w:rsidRPr="00870FB8">
              <w:rPr>
                <w:b/>
                <w:noProof/>
                <w:sz w:val="24"/>
                <w:szCs w:val="24"/>
                <w:lang w:val="hr-HR"/>
              </w:rPr>
              <w:t xml:space="preserve">5. </w:t>
            </w:r>
            <w:r w:rsidR="00FB76ED">
              <w:rPr>
                <w:b/>
                <w:noProof/>
                <w:sz w:val="24"/>
                <w:szCs w:val="24"/>
                <w:lang w:val="hr-HR"/>
              </w:rPr>
              <w:t xml:space="preserve">KORISNICI </w:t>
            </w:r>
            <w:r w:rsidRPr="00870FB8">
              <w:rPr>
                <w:b/>
                <w:noProof/>
                <w:sz w:val="24"/>
                <w:szCs w:val="24"/>
                <w:lang w:val="hr-HR"/>
              </w:rPr>
              <w:t>SREDSTAVA</w:t>
            </w:r>
          </w:p>
        </w:tc>
      </w:tr>
    </w:tbl>
    <w:p w:rsidR="00870FB8" w:rsidRPr="00537450" w:rsidRDefault="00870FB8" w:rsidP="00870FB8">
      <w:pPr>
        <w:jc w:val="both"/>
        <w:rPr>
          <w:rFonts w:eastAsia="Calibri" w:cs="Arial"/>
          <w:sz w:val="20"/>
          <w:szCs w:val="20"/>
          <w:lang w:val="hr-HR"/>
        </w:rPr>
      </w:pPr>
    </w:p>
    <w:p w:rsidR="00044EA5" w:rsidRPr="0011265D" w:rsidRDefault="00044EA5" w:rsidP="00425F18">
      <w:pPr>
        <w:jc w:val="both"/>
        <w:rPr>
          <w:rFonts w:cs="Arial"/>
          <w:szCs w:val="24"/>
        </w:rPr>
      </w:pPr>
      <w:r w:rsidRPr="0011265D">
        <w:rPr>
          <w:rFonts w:cs="Arial"/>
          <w:szCs w:val="24"/>
        </w:rPr>
        <w:t xml:space="preserve">Korisnik finansijske pomoći može biti privredno društvo koje kumulativno ispunjava sljedeće </w:t>
      </w:r>
      <w:r w:rsidR="00047A66">
        <w:rPr>
          <w:rFonts w:cs="Arial"/>
          <w:szCs w:val="24"/>
        </w:rPr>
        <w:t xml:space="preserve">osnovne </w:t>
      </w:r>
      <w:r w:rsidRPr="0011265D">
        <w:rPr>
          <w:rFonts w:cs="Arial"/>
          <w:szCs w:val="24"/>
        </w:rPr>
        <w:t>kriterije:</w:t>
      </w:r>
    </w:p>
    <w:p w:rsidR="00044EA5" w:rsidRPr="0011265D" w:rsidRDefault="00044EA5" w:rsidP="00425F18">
      <w:pPr>
        <w:pStyle w:val="ListParagraph"/>
        <w:numPr>
          <w:ilvl w:val="0"/>
          <w:numId w:val="15"/>
        </w:numPr>
        <w:spacing w:before="240" w:after="200"/>
        <w:jc w:val="both"/>
        <w:rPr>
          <w:rFonts w:cs="Arial"/>
          <w:szCs w:val="24"/>
          <w:lang w:val="hr-HR"/>
        </w:rPr>
      </w:pPr>
      <w:r w:rsidRPr="0011265D">
        <w:rPr>
          <w:rFonts w:cs="Arial"/>
          <w:szCs w:val="24"/>
          <w:lang w:val="hr-HR"/>
        </w:rPr>
        <w:t xml:space="preserve">Korisnik pomoći je privredno društvo </w:t>
      </w:r>
      <w:r w:rsidR="007E19F7">
        <w:rPr>
          <w:rFonts w:cs="Arial"/>
          <w:szCs w:val="24"/>
          <w:lang w:val="hr-HR"/>
        </w:rPr>
        <w:t>koje posluje u skladu sa Zakonom</w:t>
      </w:r>
      <w:r w:rsidRPr="0011265D">
        <w:rPr>
          <w:rFonts w:cs="Arial"/>
          <w:szCs w:val="24"/>
          <w:lang w:val="hr-HR"/>
        </w:rPr>
        <w:t xml:space="preserve"> o privrednim društvima („Služb</w:t>
      </w:r>
      <w:r w:rsidR="002601D4">
        <w:rPr>
          <w:rFonts w:cs="Arial"/>
          <w:szCs w:val="24"/>
          <w:lang w:val="hr-HR"/>
        </w:rPr>
        <w:t>ene novine Federacije BiH“, br.</w:t>
      </w:r>
      <w:r w:rsidRPr="0011265D">
        <w:rPr>
          <w:rFonts w:cs="Arial"/>
          <w:szCs w:val="24"/>
          <w:lang w:val="hr-HR"/>
        </w:rPr>
        <w:t xml:space="preserve"> 81/15</w:t>
      </w:r>
      <w:r w:rsidR="002601D4">
        <w:rPr>
          <w:rFonts w:cs="Arial"/>
          <w:szCs w:val="24"/>
          <w:lang w:val="hr-HR"/>
        </w:rPr>
        <w:t xml:space="preserve"> i 75/21</w:t>
      </w:r>
      <w:r w:rsidRPr="0011265D">
        <w:rPr>
          <w:rFonts w:cs="Arial"/>
          <w:szCs w:val="24"/>
          <w:lang w:val="hr-HR"/>
        </w:rPr>
        <w:t xml:space="preserve">), </w:t>
      </w:r>
    </w:p>
    <w:p w:rsidR="00044EA5" w:rsidRPr="0011265D" w:rsidRDefault="00044EA5" w:rsidP="00425F18">
      <w:pPr>
        <w:pStyle w:val="ListParagraph"/>
        <w:numPr>
          <w:ilvl w:val="0"/>
          <w:numId w:val="15"/>
        </w:numPr>
        <w:spacing w:before="240" w:after="200"/>
        <w:jc w:val="both"/>
        <w:rPr>
          <w:rFonts w:cs="Arial"/>
          <w:szCs w:val="24"/>
          <w:lang w:val="hr-HR"/>
        </w:rPr>
      </w:pPr>
      <w:r w:rsidRPr="0011265D">
        <w:rPr>
          <w:rFonts w:cs="Arial"/>
          <w:szCs w:val="24"/>
          <w:lang w:val="hr-HR"/>
        </w:rPr>
        <w:lastRenderedPageBreak/>
        <w:t>Korisnik pomoći je privredno društvo sa sjedištem u Federaciji Bosne i Hercegovine,</w:t>
      </w:r>
    </w:p>
    <w:p w:rsidR="001E5890" w:rsidRPr="00E95422" w:rsidRDefault="00044EA5" w:rsidP="00425F18">
      <w:pPr>
        <w:pStyle w:val="ListParagraph"/>
        <w:numPr>
          <w:ilvl w:val="0"/>
          <w:numId w:val="15"/>
        </w:numPr>
        <w:jc w:val="both"/>
        <w:rPr>
          <w:rFonts w:cs="Arial"/>
          <w:szCs w:val="24"/>
          <w:lang w:val="hr-HR"/>
        </w:rPr>
      </w:pPr>
      <w:r w:rsidRPr="00E95422">
        <w:rPr>
          <w:rFonts w:cs="Arial"/>
          <w:szCs w:val="24"/>
          <w:lang w:val="hr-HR"/>
        </w:rPr>
        <w:t xml:space="preserve">Korisnik pomoći je </w:t>
      </w:r>
      <w:r w:rsidR="001E5890" w:rsidRPr="00E95422">
        <w:rPr>
          <w:rFonts w:cs="Arial"/>
          <w:szCs w:val="24"/>
          <w:lang w:val="pl-PL"/>
        </w:rPr>
        <w:t>javno preduzeće</w:t>
      </w:r>
      <w:r w:rsidRPr="00E95422">
        <w:rPr>
          <w:rFonts w:cs="Arial"/>
          <w:szCs w:val="24"/>
          <w:lang w:val="pl-PL"/>
        </w:rPr>
        <w:t xml:space="preserve">, odnosno privredno društvo </w:t>
      </w:r>
      <w:r w:rsidR="001E5890" w:rsidRPr="00E95422">
        <w:rPr>
          <w:rFonts w:eastAsia="Times New Roman" w:cs="Arial"/>
          <w:szCs w:val="24"/>
          <w:lang w:val="hr-HR" w:eastAsia="hr-HR"/>
        </w:rPr>
        <w:t xml:space="preserve">u </w:t>
      </w:r>
      <w:r w:rsidR="00A56871">
        <w:rPr>
          <w:rFonts w:eastAsia="Times New Roman" w:cs="Arial"/>
          <w:szCs w:val="24"/>
          <w:lang w:val="hr-HR" w:eastAsia="hr-HR"/>
        </w:rPr>
        <w:t>čijem osnovnom kapitalu je kapital Federacije</w:t>
      </w:r>
      <w:r w:rsidR="001E5890" w:rsidRPr="00E95422">
        <w:rPr>
          <w:rFonts w:eastAsia="Times New Roman" w:cs="Arial"/>
          <w:szCs w:val="24"/>
          <w:lang w:val="hr-HR" w:eastAsia="hr-HR"/>
        </w:rPr>
        <w:t xml:space="preserve"> Bosne i Hercegovine ili </w:t>
      </w:r>
      <w:r w:rsidR="00A56871">
        <w:rPr>
          <w:rFonts w:eastAsia="Times New Roman" w:cs="Arial"/>
          <w:szCs w:val="24"/>
          <w:lang w:val="hr-HR" w:eastAsia="hr-HR"/>
        </w:rPr>
        <w:t>bilo kojeg</w:t>
      </w:r>
      <w:r w:rsidR="0066141D" w:rsidRPr="00E95422">
        <w:rPr>
          <w:rFonts w:eastAsia="Times New Roman" w:cs="Arial"/>
          <w:szCs w:val="24"/>
          <w:lang w:val="hr-HR" w:eastAsia="hr-HR"/>
        </w:rPr>
        <w:t xml:space="preserve"> nivo</w:t>
      </w:r>
      <w:r w:rsidR="00A56871">
        <w:rPr>
          <w:rFonts w:eastAsia="Times New Roman" w:cs="Arial"/>
          <w:szCs w:val="24"/>
          <w:lang w:val="hr-HR" w:eastAsia="hr-HR"/>
        </w:rPr>
        <w:t>a</w:t>
      </w:r>
      <w:r w:rsidR="0066141D" w:rsidRPr="00E95422">
        <w:rPr>
          <w:rFonts w:eastAsia="Times New Roman" w:cs="Arial"/>
          <w:szCs w:val="24"/>
          <w:lang w:val="hr-HR" w:eastAsia="hr-HR"/>
        </w:rPr>
        <w:t xml:space="preserve"> vlasti u Federaciji Bosne i Hercegovine</w:t>
      </w:r>
      <w:r w:rsidR="001E5890" w:rsidRPr="00E95422">
        <w:rPr>
          <w:rFonts w:eastAsia="Times New Roman" w:cs="Arial"/>
          <w:szCs w:val="24"/>
          <w:lang w:val="hr-HR" w:eastAsia="hr-HR"/>
        </w:rPr>
        <w:t xml:space="preserve"> </w:t>
      </w:r>
      <w:r w:rsidR="00A56871">
        <w:rPr>
          <w:rFonts w:eastAsia="Times New Roman" w:cs="Arial"/>
          <w:szCs w:val="24"/>
          <w:lang w:val="hr-HR" w:eastAsia="hr-HR"/>
        </w:rPr>
        <w:t>zastupljen sa</w:t>
      </w:r>
      <w:r w:rsidR="0066141D" w:rsidRPr="00E95422">
        <w:rPr>
          <w:rFonts w:eastAsia="Times New Roman" w:cs="Arial"/>
          <w:szCs w:val="24"/>
          <w:lang w:val="hr-HR" w:eastAsia="hr-HR"/>
        </w:rPr>
        <w:t xml:space="preserve"> više od 50% vlasništva</w:t>
      </w:r>
      <w:r w:rsidR="001E5890" w:rsidRPr="00E95422">
        <w:rPr>
          <w:rFonts w:eastAsia="Times New Roman" w:cs="Arial"/>
          <w:szCs w:val="24"/>
          <w:lang w:val="hr-HR" w:eastAsia="hr-HR"/>
        </w:rPr>
        <w:t>,</w:t>
      </w:r>
    </w:p>
    <w:p w:rsidR="00D11ED5" w:rsidRPr="00D11ED5" w:rsidRDefault="00D11ED5" w:rsidP="00D11ED5">
      <w:pPr>
        <w:pStyle w:val="ListParagraph"/>
        <w:numPr>
          <w:ilvl w:val="0"/>
          <w:numId w:val="15"/>
        </w:numPr>
        <w:tabs>
          <w:tab w:val="left" w:pos="709"/>
        </w:tabs>
        <w:spacing w:before="240"/>
        <w:ind w:right="-2"/>
        <w:jc w:val="both"/>
        <w:rPr>
          <w:rFonts w:eastAsia="Calibri" w:cs="Arial"/>
          <w:strike/>
          <w:szCs w:val="24"/>
        </w:rPr>
      </w:pPr>
      <w:r w:rsidRPr="00D11ED5">
        <w:rPr>
          <w:rFonts w:eastAsia="Calibri" w:cs="Arial"/>
          <w:szCs w:val="24"/>
        </w:rPr>
        <w:t>Korisnik sredstava je privredno društvo iz oblasti metalne, elektro i automobilske industrije, industrije građevinskog materijala, drvne, papirne i grafičke industrije, proizvodnje tekstila, kože i obuće, hemijske industrije i industrije gume i plastike, namjenske industrije i sakupljanja otpada i reciklaže materijala, odnosno privredno društvo kome je prema KD BiH 2010 glavna šifra djelatnosti (djelatnost koju pravno lice pretežno obavlja) dodijeljena od nadležnog Zavoda za statistiku, iz područja C-Prerađivačka industrija, izuzev oblasti:</w:t>
      </w:r>
    </w:p>
    <w:p w:rsidR="00D11ED5" w:rsidRPr="00D11ED5" w:rsidRDefault="00D11ED5" w:rsidP="00D11ED5">
      <w:pPr>
        <w:pStyle w:val="ListParagraph"/>
        <w:tabs>
          <w:tab w:val="left" w:pos="709"/>
        </w:tabs>
        <w:ind w:right="-2"/>
        <w:jc w:val="both"/>
        <w:rPr>
          <w:rFonts w:eastAsia="Calibri" w:cs="Arial"/>
          <w:szCs w:val="24"/>
        </w:rPr>
      </w:pPr>
      <w:r w:rsidRPr="00D11ED5">
        <w:rPr>
          <w:rFonts w:eastAsia="Calibri" w:cs="Arial"/>
          <w:szCs w:val="24"/>
        </w:rPr>
        <w:t>•</w:t>
      </w:r>
      <w:r w:rsidRPr="00D11ED5">
        <w:rPr>
          <w:rFonts w:eastAsia="Calibri" w:cs="Arial"/>
          <w:szCs w:val="24"/>
        </w:rPr>
        <w:tab/>
        <w:t>10 (Proizvodnja prehrambenih proizvoda);</w:t>
      </w:r>
    </w:p>
    <w:p w:rsidR="00D11ED5" w:rsidRPr="00D11ED5" w:rsidRDefault="00D11ED5" w:rsidP="00D11ED5">
      <w:pPr>
        <w:pStyle w:val="ListParagraph"/>
        <w:tabs>
          <w:tab w:val="left" w:pos="709"/>
        </w:tabs>
        <w:ind w:right="-2"/>
        <w:jc w:val="both"/>
        <w:rPr>
          <w:rFonts w:eastAsia="Calibri" w:cs="Arial"/>
          <w:szCs w:val="24"/>
        </w:rPr>
      </w:pPr>
      <w:r w:rsidRPr="00D11ED5">
        <w:rPr>
          <w:rFonts w:eastAsia="Calibri" w:cs="Arial"/>
          <w:szCs w:val="24"/>
        </w:rPr>
        <w:t>•</w:t>
      </w:r>
      <w:r w:rsidRPr="00D11ED5">
        <w:rPr>
          <w:rFonts w:eastAsia="Calibri" w:cs="Arial"/>
          <w:szCs w:val="24"/>
        </w:rPr>
        <w:tab/>
        <w:t xml:space="preserve">11 (Proizvodnja pića); </w:t>
      </w:r>
    </w:p>
    <w:p w:rsidR="00D11ED5" w:rsidRPr="00D11ED5" w:rsidRDefault="00D11ED5" w:rsidP="00D11ED5">
      <w:pPr>
        <w:pStyle w:val="ListParagraph"/>
        <w:tabs>
          <w:tab w:val="left" w:pos="709"/>
        </w:tabs>
        <w:ind w:right="-2"/>
        <w:jc w:val="both"/>
        <w:rPr>
          <w:rFonts w:eastAsia="Calibri" w:cs="Arial"/>
          <w:szCs w:val="24"/>
        </w:rPr>
      </w:pPr>
      <w:r w:rsidRPr="00D11ED5">
        <w:rPr>
          <w:rFonts w:eastAsia="Calibri" w:cs="Arial"/>
          <w:szCs w:val="24"/>
        </w:rPr>
        <w:t>•</w:t>
      </w:r>
      <w:r w:rsidRPr="00D11ED5">
        <w:rPr>
          <w:rFonts w:eastAsia="Calibri" w:cs="Arial"/>
          <w:szCs w:val="24"/>
        </w:rPr>
        <w:tab/>
        <w:t>12 (Proizvodnja duhanskih proizvoda),</w:t>
      </w:r>
    </w:p>
    <w:p w:rsidR="00D11ED5" w:rsidRPr="00D11ED5" w:rsidRDefault="00D11ED5" w:rsidP="00D11ED5">
      <w:pPr>
        <w:pStyle w:val="ListParagraph"/>
        <w:tabs>
          <w:tab w:val="left" w:pos="709"/>
        </w:tabs>
        <w:ind w:right="-2"/>
        <w:jc w:val="both"/>
        <w:rPr>
          <w:rFonts w:eastAsia="Calibri" w:cs="Arial"/>
          <w:szCs w:val="24"/>
        </w:rPr>
      </w:pPr>
      <w:r w:rsidRPr="00D11ED5">
        <w:rPr>
          <w:rFonts w:eastAsia="Calibri" w:cs="Arial"/>
          <w:szCs w:val="24"/>
        </w:rPr>
        <w:t>i iz područja E-Snabdijevanje vodom; uklanjanje otpadnih voda, upravljanje otpadom te djelatnosti sanacije okoliša, izuzev oblasti:</w:t>
      </w:r>
    </w:p>
    <w:p w:rsidR="00D11ED5" w:rsidRPr="00D11ED5" w:rsidRDefault="00D11ED5" w:rsidP="00D11ED5">
      <w:pPr>
        <w:pStyle w:val="ListParagraph"/>
        <w:tabs>
          <w:tab w:val="left" w:pos="709"/>
        </w:tabs>
        <w:ind w:right="-2"/>
        <w:jc w:val="both"/>
        <w:rPr>
          <w:rFonts w:eastAsia="Calibri" w:cs="Arial"/>
          <w:szCs w:val="24"/>
        </w:rPr>
      </w:pPr>
      <w:r w:rsidRPr="00D11ED5">
        <w:rPr>
          <w:rFonts w:eastAsia="Calibri" w:cs="Arial"/>
          <w:szCs w:val="24"/>
        </w:rPr>
        <w:t>•</w:t>
      </w:r>
      <w:r w:rsidRPr="00D11ED5">
        <w:rPr>
          <w:rFonts w:eastAsia="Calibri" w:cs="Arial"/>
          <w:szCs w:val="24"/>
        </w:rPr>
        <w:tab/>
        <w:t>36 (Sakupljanje, pročišćavanje i snabdijevanje vodom);</w:t>
      </w:r>
    </w:p>
    <w:p w:rsidR="00D11ED5" w:rsidRPr="00D11ED5" w:rsidRDefault="00D11ED5" w:rsidP="00D11ED5">
      <w:pPr>
        <w:pStyle w:val="ListParagraph"/>
        <w:tabs>
          <w:tab w:val="left" w:pos="709"/>
        </w:tabs>
        <w:ind w:right="-2"/>
        <w:jc w:val="both"/>
        <w:rPr>
          <w:rFonts w:eastAsia="Calibri" w:cs="Arial"/>
          <w:szCs w:val="24"/>
        </w:rPr>
      </w:pPr>
      <w:r w:rsidRPr="00D11ED5">
        <w:rPr>
          <w:rFonts w:eastAsia="Calibri" w:cs="Arial"/>
          <w:szCs w:val="24"/>
        </w:rPr>
        <w:t>•</w:t>
      </w:r>
      <w:r w:rsidRPr="00D11ED5">
        <w:rPr>
          <w:rFonts w:eastAsia="Calibri" w:cs="Arial"/>
          <w:szCs w:val="24"/>
        </w:rPr>
        <w:tab/>
        <w:t xml:space="preserve">37 (Uklanjanje otpadnih voda); </w:t>
      </w:r>
    </w:p>
    <w:p w:rsidR="00D11ED5" w:rsidRDefault="00D11ED5" w:rsidP="00D11ED5">
      <w:pPr>
        <w:pStyle w:val="ListParagraph"/>
        <w:tabs>
          <w:tab w:val="left" w:pos="709"/>
        </w:tabs>
        <w:ind w:right="-2"/>
        <w:jc w:val="both"/>
      </w:pPr>
      <w:r w:rsidRPr="00D11ED5">
        <w:rPr>
          <w:rFonts w:eastAsia="Calibri" w:cs="Arial"/>
          <w:szCs w:val="24"/>
        </w:rPr>
        <w:t>•</w:t>
      </w:r>
      <w:r w:rsidRPr="00D11ED5">
        <w:rPr>
          <w:rFonts w:eastAsia="Calibri" w:cs="Arial"/>
          <w:szCs w:val="24"/>
        </w:rPr>
        <w:tab/>
        <w:t>39 (Djelatnosti sanacije okoliša te ostale djelatnosti upravljanja otpadom)</w:t>
      </w:r>
      <w:r w:rsidRPr="006B5225">
        <w:t>.</w:t>
      </w:r>
    </w:p>
    <w:p w:rsidR="00721774" w:rsidRDefault="00721774" w:rsidP="00D11ED5">
      <w:pPr>
        <w:pStyle w:val="ListParagraph"/>
        <w:tabs>
          <w:tab w:val="left" w:pos="709"/>
        </w:tabs>
        <w:ind w:right="-2"/>
        <w:jc w:val="both"/>
      </w:pPr>
    </w:p>
    <w:p w:rsidR="00861A51" w:rsidRDefault="00721774" w:rsidP="00A8429D">
      <w:pPr>
        <w:jc w:val="both"/>
        <w:rPr>
          <w:rFonts w:eastAsia="Calibri" w:cs="Arial"/>
          <w:szCs w:val="24"/>
          <w:lang w:val="hr-HR"/>
        </w:rPr>
      </w:pPr>
      <w:r>
        <w:rPr>
          <w:rFonts w:eastAsia="Calibri" w:cs="Arial"/>
          <w:szCs w:val="24"/>
          <w:lang w:val="hr-HR"/>
        </w:rPr>
        <w:t>Napomena:</w:t>
      </w:r>
    </w:p>
    <w:p w:rsidR="00721774" w:rsidRDefault="003D1536" w:rsidP="00A8429D">
      <w:pPr>
        <w:jc w:val="both"/>
        <w:rPr>
          <w:rFonts w:eastAsia="Calibri" w:cs="Arial"/>
          <w:szCs w:val="24"/>
          <w:lang w:val="hr-HR"/>
        </w:rPr>
      </w:pPr>
      <w:r>
        <w:rPr>
          <w:rFonts w:eastAsia="Calibri" w:cs="Arial"/>
          <w:szCs w:val="24"/>
          <w:lang w:val="hr-HR"/>
        </w:rPr>
        <w:t>Kriterij iz tačke 4.</w:t>
      </w:r>
      <w:r w:rsidR="00721774">
        <w:rPr>
          <w:rFonts w:eastAsia="Calibri" w:cs="Arial"/>
          <w:szCs w:val="24"/>
          <w:lang w:val="hr-HR"/>
        </w:rPr>
        <w:t xml:space="preserve"> se ne odnosi na privredna društva iz tačke IV. Uredbe o izmjeni uredbe o vršenju ovlaštenja u privrednim društvima sa učešćem državnog kapitala iz nadležnosti Federacije Bosne i Hercegovine („Službene novine Federacije BiH“, broj 101/22) nad kojima </w:t>
      </w:r>
      <w:r w:rsidR="00346670" w:rsidRPr="0089084B">
        <w:rPr>
          <w:rFonts w:eastAsia="Calibri" w:cs="Arial"/>
          <w:szCs w:val="24"/>
          <w:lang w:val="hr-HR"/>
        </w:rPr>
        <w:t>Federalnog ministarstva energije, rudarstva i industrije</w:t>
      </w:r>
      <w:r w:rsidR="00346670">
        <w:rPr>
          <w:rFonts w:eastAsia="Calibri" w:cs="Arial"/>
          <w:szCs w:val="24"/>
          <w:lang w:val="hr-HR"/>
        </w:rPr>
        <w:t xml:space="preserve"> </w:t>
      </w:r>
      <w:r w:rsidR="00721774">
        <w:rPr>
          <w:rFonts w:eastAsia="Calibri" w:cs="Arial"/>
          <w:szCs w:val="24"/>
          <w:lang w:val="hr-HR"/>
        </w:rPr>
        <w:t xml:space="preserve">vrši monitoring i podnošenje izvještaja Vladi </w:t>
      </w:r>
      <w:r w:rsidR="00346670">
        <w:rPr>
          <w:rFonts w:eastAsia="Calibri" w:cs="Arial"/>
          <w:szCs w:val="24"/>
          <w:lang w:val="hr-HR"/>
        </w:rPr>
        <w:t xml:space="preserve">Federacije Bosne i Hercegovine </w:t>
      </w:r>
      <w:r w:rsidR="00721774">
        <w:rPr>
          <w:rFonts w:eastAsia="Calibri" w:cs="Arial"/>
          <w:szCs w:val="24"/>
          <w:lang w:val="hr-HR"/>
        </w:rPr>
        <w:t>o statusu i toku stečajnog ili likvidacionog postupka, kao i mjerama za zaštitu interesa imovine Federacije.</w:t>
      </w:r>
    </w:p>
    <w:p w:rsidR="00721774" w:rsidRDefault="00721774" w:rsidP="00A8429D">
      <w:pPr>
        <w:jc w:val="both"/>
        <w:rPr>
          <w:rFonts w:eastAsia="Calibri" w:cs="Arial"/>
          <w:szCs w:val="24"/>
          <w:lang w:val="hr-HR"/>
        </w:rPr>
      </w:pPr>
    </w:p>
    <w:p w:rsidR="00301147" w:rsidRPr="0089084B" w:rsidRDefault="00301147" w:rsidP="00A8429D">
      <w:pPr>
        <w:jc w:val="both"/>
        <w:rPr>
          <w:rFonts w:eastAsia="Calibri" w:cs="Arial"/>
          <w:szCs w:val="24"/>
          <w:lang w:val="hr-HR"/>
        </w:rPr>
      </w:pPr>
      <w:r w:rsidRPr="0089084B">
        <w:rPr>
          <w:rFonts w:eastAsia="Calibri" w:cs="Arial"/>
          <w:szCs w:val="24"/>
          <w:lang w:val="hr-HR"/>
        </w:rPr>
        <w:t xml:space="preserve">Neprihvatljivi korisnici </w:t>
      </w:r>
      <w:r w:rsidR="003D1536">
        <w:rPr>
          <w:rFonts w:eastAsia="Calibri" w:cs="Arial"/>
          <w:szCs w:val="24"/>
          <w:lang w:val="hr-HR"/>
        </w:rPr>
        <w:t>za dodjelu sredstava</w:t>
      </w:r>
      <w:r w:rsidRPr="0089084B">
        <w:rPr>
          <w:rFonts w:eastAsia="Calibri" w:cs="Arial"/>
          <w:szCs w:val="24"/>
          <w:lang w:val="hr-HR"/>
        </w:rPr>
        <w:t xml:space="preserve"> su:</w:t>
      </w:r>
    </w:p>
    <w:p w:rsidR="00301147" w:rsidRPr="0089084B" w:rsidRDefault="00301147" w:rsidP="00A8429D">
      <w:pPr>
        <w:pStyle w:val="ListParagraph"/>
        <w:numPr>
          <w:ilvl w:val="0"/>
          <w:numId w:val="16"/>
        </w:numPr>
        <w:jc w:val="both"/>
        <w:rPr>
          <w:rFonts w:eastAsia="Calibri" w:cs="Arial"/>
          <w:szCs w:val="24"/>
          <w:lang w:val="hr-HR"/>
        </w:rPr>
      </w:pPr>
      <w:r w:rsidRPr="0089084B">
        <w:rPr>
          <w:rFonts w:eastAsia="Calibri" w:cs="Arial"/>
          <w:szCs w:val="24"/>
          <w:lang w:val="hr-HR"/>
        </w:rPr>
        <w:t xml:space="preserve">privredna društva kojima je upućen zahtjev, odnosno nalog za povrat dodijeljenih budžetskih sredstava Federalnog ministarstva energije, rudarstva i industrije iz </w:t>
      </w:r>
      <w:r w:rsidRPr="00110114">
        <w:rPr>
          <w:rFonts w:eastAsia="Calibri" w:cs="Arial"/>
          <w:szCs w:val="24"/>
          <w:lang w:val="hr-HR"/>
        </w:rPr>
        <w:t>prethodnog</w:t>
      </w:r>
      <w:r w:rsidRPr="0089084B">
        <w:rPr>
          <w:rFonts w:eastAsia="Calibri" w:cs="Arial"/>
          <w:szCs w:val="24"/>
          <w:lang w:val="hr-HR"/>
        </w:rPr>
        <w:t xml:space="preserve"> perioda</w:t>
      </w:r>
      <w:r w:rsidR="00110114">
        <w:rPr>
          <w:rFonts w:eastAsia="Calibri" w:cs="Arial"/>
          <w:szCs w:val="24"/>
          <w:lang w:val="hr-HR"/>
        </w:rPr>
        <w:t xml:space="preserve"> </w:t>
      </w:r>
      <w:r w:rsidR="00110114" w:rsidRPr="003D1536">
        <w:rPr>
          <w:rFonts w:eastAsia="Calibri" w:cs="Arial"/>
          <w:szCs w:val="24"/>
          <w:lang w:val="hr-HR"/>
        </w:rPr>
        <w:t>za uvezivanje staža radi penzionisanja</w:t>
      </w:r>
      <w:r w:rsidRPr="0089084B">
        <w:rPr>
          <w:rFonts w:eastAsia="Calibri" w:cs="Arial"/>
          <w:szCs w:val="24"/>
          <w:lang w:val="hr-HR"/>
        </w:rPr>
        <w:t>, a koji do dana podnošenja zahtjeva za dodjelu sredstava po ovom Programu nije realizovan;</w:t>
      </w:r>
    </w:p>
    <w:p w:rsidR="00301147" w:rsidRDefault="00301147" w:rsidP="00301147">
      <w:pPr>
        <w:pStyle w:val="ListParagraph"/>
        <w:numPr>
          <w:ilvl w:val="0"/>
          <w:numId w:val="16"/>
        </w:numPr>
        <w:jc w:val="both"/>
        <w:rPr>
          <w:rFonts w:eastAsia="Calibri" w:cs="Arial"/>
          <w:szCs w:val="24"/>
        </w:rPr>
      </w:pPr>
      <w:r w:rsidRPr="00301147">
        <w:rPr>
          <w:rFonts w:eastAsia="Calibri" w:cs="Arial"/>
          <w:szCs w:val="24"/>
        </w:rPr>
        <w:t>radni</w:t>
      </w:r>
      <w:r>
        <w:rPr>
          <w:rFonts w:eastAsia="Calibri" w:cs="Arial"/>
          <w:szCs w:val="24"/>
        </w:rPr>
        <w:t>ci</w:t>
      </w:r>
      <w:r w:rsidRPr="00301147">
        <w:rPr>
          <w:rFonts w:eastAsia="Calibri" w:cs="Arial"/>
          <w:szCs w:val="24"/>
        </w:rPr>
        <w:t xml:space="preserve"> koji su do dana podnošenja zahtjeva za dodjelu sredstava</w:t>
      </w:r>
      <w:r>
        <w:rPr>
          <w:rFonts w:eastAsia="Calibri" w:cs="Arial"/>
          <w:szCs w:val="24"/>
        </w:rPr>
        <w:t xml:space="preserve">, </w:t>
      </w:r>
      <w:r w:rsidRPr="00301147">
        <w:rPr>
          <w:rFonts w:eastAsia="Calibri" w:cs="Arial"/>
          <w:szCs w:val="24"/>
        </w:rPr>
        <w:t>već, po bilo kojem osnovu, penzionisani.</w:t>
      </w:r>
    </w:p>
    <w:p w:rsidR="008003F5" w:rsidRDefault="008003F5" w:rsidP="008003F5">
      <w:pPr>
        <w:pStyle w:val="ListParagraph"/>
        <w:jc w:val="both"/>
        <w:rPr>
          <w:rFonts w:eastAsia="Calibri" w:cs="Arial"/>
          <w:szCs w:val="24"/>
        </w:rPr>
      </w:pPr>
    </w:p>
    <w:p w:rsidR="008003F5" w:rsidRDefault="008003F5" w:rsidP="008003F5">
      <w:pPr>
        <w:spacing w:line="276" w:lineRule="auto"/>
        <w:jc w:val="both"/>
        <w:rPr>
          <w:rFonts w:eastAsia="Calibri" w:cs="Arial"/>
          <w:noProof/>
          <w:szCs w:val="24"/>
          <w:lang w:val="hr-HR"/>
        </w:rPr>
      </w:pPr>
      <w:r w:rsidRPr="008003F5">
        <w:rPr>
          <w:rFonts w:eastAsia="Calibri" w:cs="Arial"/>
          <w:noProof/>
          <w:szCs w:val="24"/>
          <w:lang w:val="hr-HR"/>
        </w:rPr>
        <w:t xml:space="preserve">Napomena: </w:t>
      </w:r>
    </w:p>
    <w:p w:rsidR="008003F5" w:rsidRPr="008003F5" w:rsidRDefault="008003F5" w:rsidP="008003F5">
      <w:pPr>
        <w:spacing w:line="276" w:lineRule="auto"/>
        <w:jc w:val="both"/>
        <w:rPr>
          <w:rFonts w:eastAsia="Calibri" w:cs="Arial"/>
          <w:noProof/>
          <w:szCs w:val="24"/>
          <w:lang w:val="hr-HR"/>
        </w:rPr>
      </w:pPr>
      <w:r w:rsidRPr="00876386">
        <w:rPr>
          <w:rFonts w:eastAsia="Calibri" w:cs="Arial"/>
          <w:noProof/>
          <w:szCs w:val="24"/>
          <w:lang w:val="hr-HR"/>
        </w:rPr>
        <w:t>Pravo učešća po ovom Programu imaju i preduzeća u  stečaju</w:t>
      </w:r>
      <w:r w:rsidR="00876386" w:rsidRPr="00876386">
        <w:rPr>
          <w:rFonts w:eastAsia="Calibri" w:cs="Arial"/>
          <w:noProof/>
          <w:szCs w:val="24"/>
          <w:lang w:val="hr-HR"/>
        </w:rPr>
        <w:t xml:space="preserve"> i </w:t>
      </w:r>
      <w:r w:rsidRPr="00876386">
        <w:rPr>
          <w:rFonts w:eastAsia="Calibri" w:cs="Arial"/>
          <w:noProof/>
          <w:szCs w:val="24"/>
          <w:lang w:val="hr-HR"/>
        </w:rPr>
        <w:t xml:space="preserve">preduzeća koja su </w:t>
      </w:r>
      <w:r w:rsidR="00E3722E" w:rsidRPr="00876386">
        <w:rPr>
          <w:rFonts w:eastAsia="Calibri" w:cs="Arial"/>
          <w:noProof/>
          <w:szCs w:val="24"/>
          <w:lang w:val="hr-HR"/>
        </w:rPr>
        <w:t>u procesu likvidacije</w:t>
      </w:r>
      <w:r w:rsidR="00876386" w:rsidRPr="00876386">
        <w:rPr>
          <w:rFonts w:eastAsia="Calibri" w:cs="Arial"/>
          <w:noProof/>
          <w:szCs w:val="24"/>
          <w:lang w:val="hr-HR"/>
        </w:rPr>
        <w:t xml:space="preserve"> ali ne i preduzeća koja su</w:t>
      </w:r>
      <w:r w:rsidR="00E3722E" w:rsidRPr="00876386">
        <w:rPr>
          <w:rFonts w:eastAsia="Calibri" w:cs="Arial"/>
          <w:noProof/>
          <w:szCs w:val="24"/>
          <w:lang w:val="hr-HR"/>
        </w:rPr>
        <w:t xml:space="preserve"> već </w:t>
      </w:r>
      <w:r w:rsidRPr="00876386">
        <w:rPr>
          <w:rFonts w:eastAsia="Calibri" w:cs="Arial"/>
          <w:noProof/>
          <w:szCs w:val="24"/>
          <w:lang w:val="hr-HR"/>
        </w:rPr>
        <w:t>likvidirana.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FFC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70FB8" w:rsidRPr="00870FB8" w:rsidTr="00A74409">
        <w:trPr>
          <w:trHeight w:val="394"/>
        </w:trPr>
        <w:tc>
          <w:tcPr>
            <w:tcW w:w="9072" w:type="dxa"/>
            <w:vAlign w:val="center"/>
          </w:tcPr>
          <w:p w:rsidR="000E20C2" w:rsidRDefault="000E20C2" w:rsidP="00C248D6">
            <w:pPr>
              <w:rPr>
                <w:b/>
                <w:noProof/>
                <w:sz w:val="24"/>
                <w:szCs w:val="24"/>
                <w:lang w:val="hr-HR"/>
              </w:rPr>
            </w:pPr>
          </w:p>
          <w:p w:rsidR="00870FB8" w:rsidRPr="00870FB8" w:rsidRDefault="00870FB8" w:rsidP="00C248D6">
            <w:pPr>
              <w:rPr>
                <w:b/>
                <w:noProof/>
                <w:sz w:val="24"/>
                <w:szCs w:val="24"/>
                <w:lang w:val="hr-HR"/>
              </w:rPr>
            </w:pPr>
            <w:r w:rsidRPr="00870FB8">
              <w:rPr>
                <w:b/>
                <w:noProof/>
                <w:sz w:val="24"/>
                <w:szCs w:val="24"/>
                <w:lang w:val="hr-HR"/>
              </w:rPr>
              <w:t xml:space="preserve">6. </w:t>
            </w:r>
            <w:r w:rsidR="00B30B8B">
              <w:rPr>
                <w:b/>
                <w:noProof/>
                <w:sz w:val="24"/>
                <w:szCs w:val="24"/>
                <w:lang w:val="hr-HR"/>
              </w:rPr>
              <w:t xml:space="preserve">OSTALI </w:t>
            </w:r>
            <w:r w:rsidRPr="00870FB8">
              <w:rPr>
                <w:b/>
                <w:noProof/>
                <w:sz w:val="24"/>
                <w:szCs w:val="24"/>
                <w:lang w:val="hr-HR"/>
              </w:rPr>
              <w:t xml:space="preserve">KRITERIJI ZA IZBOR KORISNIKA </w:t>
            </w:r>
          </w:p>
        </w:tc>
      </w:tr>
    </w:tbl>
    <w:p w:rsidR="00870FB8" w:rsidRPr="00537450" w:rsidRDefault="00870FB8" w:rsidP="00870FB8">
      <w:pPr>
        <w:jc w:val="both"/>
        <w:rPr>
          <w:rFonts w:eastAsia="Calibri" w:cs="Arial"/>
          <w:b/>
          <w:smallCaps/>
          <w:sz w:val="20"/>
          <w:szCs w:val="20"/>
        </w:rPr>
      </w:pPr>
    </w:p>
    <w:p w:rsidR="00301147" w:rsidRDefault="006C4596" w:rsidP="00425F18">
      <w:pPr>
        <w:jc w:val="both"/>
        <w:rPr>
          <w:rFonts w:eastAsia="Calibri" w:cs="Arial"/>
          <w:noProof/>
          <w:szCs w:val="24"/>
          <w:lang w:val="hr-HR"/>
        </w:rPr>
      </w:pPr>
      <w:r>
        <w:rPr>
          <w:rFonts w:eastAsia="Calibri" w:cs="Arial"/>
          <w:noProof/>
          <w:szCs w:val="24"/>
          <w:lang w:val="hr-HR"/>
        </w:rPr>
        <w:t>Pravo na učešće</w:t>
      </w:r>
      <w:r w:rsidR="00870FB8" w:rsidRPr="00870FB8">
        <w:rPr>
          <w:rFonts w:eastAsia="Calibri" w:cs="Arial"/>
          <w:noProof/>
          <w:szCs w:val="24"/>
          <w:lang w:val="hr-HR"/>
        </w:rPr>
        <w:t xml:space="preserve"> po ovom Programu </w:t>
      </w:r>
      <w:r>
        <w:rPr>
          <w:rFonts w:eastAsia="Calibri" w:cs="Arial"/>
          <w:noProof/>
          <w:szCs w:val="24"/>
          <w:lang w:val="hr-HR"/>
        </w:rPr>
        <w:t xml:space="preserve">i dodjelu </w:t>
      </w:r>
      <w:r w:rsidR="00DE13F0">
        <w:rPr>
          <w:rFonts w:eastAsia="Calibri" w:cs="Arial"/>
          <w:noProof/>
          <w:szCs w:val="24"/>
          <w:lang w:val="hr-HR"/>
        </w:rPr>
        <w:t>grant</w:t>
      </w:r>
      <w:r>
        <w:rPr>
          <w:rFonts w:eastAsia="Calibri" w:cs="Arial"/>
          <w:noProof/>
          <w:szCs w:val="24"/>
          <w:lang w:val="hr-HR"/>
        </w:rPr>
        <w:t xml:space="preserve"> sredstava ima</w:t>
      </w:r>
      <w:r w:rsidR="00007ACD">
        <w:rPr>
          <w:rFonts w:eastAsia="Calibri" w:cs="Arial"/>
          <w:noProof/>
          <w:szCs w:val="24"/>
          <w:lang w:val="hr-HR"/>
        </w:rPr>
        <w:t>ju preduzeća koja</w:t>
      </w:r>
      <w:r w:rsidR="000B3213">
        <w:rPr>
          <w:rFonts w:eastAsia="Calibri" w:cs="Arial"/>
          <w:noProof/>
          <w:szCs w:val="24"/>
          <w:lang w:val="hr-HR"/>
        </w:rPr>
        <w:t xml:space="preserve"> ispunjava</w:t>
      </w:r>
      <w:r w:rsidR="00007ACD">
        <w:rPr>
          <w:rFonts w:eastAsia="Calibri" w:cs="Arial"/>
          <w:noProof/>
          <w:szCs w:val="24"/>
          <w:lang w:val="hr-HR"/>
        </w:rPr>
        <w:t>ju</w:t>
      </w:r>
      <w:r w:rsidR="000B3213">
        <w:rPr>
          <w:rFonts w:eastAsia="Calibri" w:cs="Arial"/>
          <w:noProof/>
          <w:szCs w:val="24"/>
          <w:lang w:val="hr-HR"/>
        </w:rPr>
        <w:t xml:space="preserve"> </w:t>
      </w:r>
      <w:r w:rsidR="0092320E">
        <w:rPr>
          <w:rFonts w:eastAsia="Calibri" w:cs="Arial"/>
          <w:noProof/>
          <w:szCs w:val="24"/>
          <w:lang w:val="hr-HR"/>
        </w:rPr>
        <w:t xml:space="preserve">osnovne kriterije definisane u tački 5. </w:t>
      </w:r>
      <w:r w:rsidR="00301147">
        <w:rPr>
          <w:rFonts w:eastAsia="Calibri" w:cs="Arial"/>
          <w:noProof/>
          <w:szCs w:val="24"/>
          <w:lang w:val="hr-HR"/>
        </w:rPr>
        <w:t xml:space="preserve">ovog </w:t>
      </w:r>
      <w:r w:rsidR="0092320E">
        <w:rPr>
          <w:rFonts w:eastAsia="Calibri" w:cs="Arial"/>
          <w:noProof/>
          <w:szCs w:val="24"/>
          <w:lang w:val="hr-HR"/>
        </w:rPr>
        <w:t xml:space="preserve">Programa i </w:t>
      </w:r>
      <w:r w:rsidR="000B3213" w:rsidRPr="000C7728">
        <w:rPr>
          <w:rFonts w:eastAsia="Calibri" w:cs="Arial"/>
          <w:noProof/>
          <w:szCs w:val="24"/>
          <w:lang w:val="hr-HR"/>
        </w:rPr>
        <w:t xml:space="preserve">da zapošljavaju najmanje </w:t>
      </w:r>
      <w:r w:rsidR="00D65803" w:rsidRPr="00D32823">
        <w:rPr>
          <w:rFonts w:eastAsia="Calibri" w:cs="Arial"/>
          <w:noProof/>
          <w:szCs w:val="24"/>
          <w:lang w:val="hr-HR"/>
        </w:rPr>
        <w:t>5</w:t>
      </w:r>
      <w:r w:rsidR="000B3213" w:rsidRPr="00D32823">
        <w:rPr>
          <w:rFonts w:eastAsia="Calibri" w:cs="Arial"/>
          <w:noProof/>
          <w:szCs w:val="24"/>
          <w:lang w:val="hr-HR"/>
        </w:rPr>
        <w:t xml:space="preserve"> zaposlenika</w:t>
      </w:r>
      <w:r w:rsidR="00301147">
        <w:rPr>
          <w:rFonts w:eastAsia="Calibri" w:cs="Arial"/>
          <w:noProof/>
          <w:szCs w:val="24"/>
          <w:lang w:val="hr-HR"/>
        </w:rPr>
        <w:t>.</w:t>
      </w:r>
    </w:p>
    <w:p w:rsidR="00301147" w:rsidRDefault="00301147" w:rsidP="00425F18">
      <w:pPr>
        <w:jc w:val="both"/>
        <w:rPr>
          <w:rFonts w:eastAsia="Calibri" w:cs="Arial"/>
          <w:noProof/>
          <w:szCs w:val="24"/>
          <w:lang w:val="hr-HR"/>
        </w:rPr>
      </w:pPr>
      <w:r>
        <w:rPr>
          <w:rFonts w:eastAsia="Calibri" w:cs="Arial"/>
          <w:noProof/>
          <w:szCs w:val="24"/>
          <w:lang w:val="hr-HR"/>
        </w:rPr>
        <w:t xml:space="preserve">Napomena: </w:t>
      </w:r>
    </w:p>
    <w:p w:rsidR="000B3213" w:rsidRDefault="00301147" w:rsidP="00425F18">
      <w:pPr>
        <w:jc w:val="both"/>
        <w:rPr>
          <w:rFonts w:eastAsia="Calibri" w:cs="Arial"/>
          <w:noProof/>
          <w:szCs w:val="24"/>
          <w:lang w:val="hr-HR"/>
        </w:rPr>
      </w:pPr>
      <w:r>
        <w:rPr>
          <w:rFonts w:eastAsia="Calibri" w:cs="Arial"/>
          <w:noProof/>
          <w:szCs w:val="24"/>
          <w:lang w:val="hr-HR"/>
        </w:rPr>
        <w:lastRenderedPageBreak/>
        <w:t>Kriterij o minimalnom broju zaposlenih radnika u privrednom društvu koje aplicira za dodjelu sredstava po ovom Programu, ne odnosi se na</w:t>
      </w:r>
      <w:r w:rsidR="00DE13F0">
        <w:rPr>
          <w:rFonts w:eastAsia="Calibri" w:cs="Arial"/>
          <w:noProof/>
          <w:szCs w:val="24"/>
          <w:lang w:val="hr-HR"/>
        </w:rPr>
        <w:t xml:space="preserve"> preduzeća u stečaju</w:t>
      </w:r>
      <w:r w:rsidR="00F835F4">
        <w:rPr>
          <w:rFonts w:eastAsia="Calibri" w:cs="Arial"/>
          <w:noProof/>
          <w:szCs w:val="24"/>
          <w:lang w:val="hr-HR"/>
        </w:rPr>
        <w:t xml:space="preserve"> i</w:t>
      </w:r>
      <w:r w:rsidR="00474A96">
        <w:rPr>
          <w:rFonts w:eastAsia="Calibri" w:cs="Arial"/>
          <w:noProof/>
          <w:szCs w:val="24"/>
          <w:lang w:val="hr-HR"/>
        </w:rPr>
        <w:t xml:space="preserve"> na preduzeća koja su</w:t>
      </w:r>
      <w:r w:rsidR="00F835F4">
        <w:rPr>
          <w:rFonts w:eastAsia="Calibri" w:cs="Arial"/>
          <w:noProof/>
          <w:szCs w:val="24"/>
          <w:lang w:val="hr-HR"/>
        </w:rPr>
        <w:t xml:space="preserve"> u procesu likvidacije</w:t>
      </w:r>
      <w:r w:rsidR="00DE13F0">
        <w:rPr>
          <w:rFonts w:eastAsia="Calibri" w:cs="Arial"/>
          <w:noProof/>
          <w:szCs w:val="24"/>
          <w:lang w:val="hr-HR"/>
        </w:rPr>
        <w:t>.</w:t>
      </w:r>
    </w:p>
    <w:p w:rsidR="00F835F4" w:rsidRDefault="00F835F4" w:rsidP="00425F18">
      <w:pPr>
        <w:jc w:val="both"/>
        <w:rPr>
          <w:rFonts w:eastAsia="Calibri" w:cs="Arial"/>
          <w:noProof/>
          <w:szCs w:val="24"/>
          <w:lang w:val="hr-HR"/>
        </w:rPr>
      </w:pPr>
    </w:p>
    <w:p w:rsidR="00815EF7" w:rsidRDefault="0092320E" w:rsidP="00425F18">
      <w:pPr>
        <w:spacing w:after="240"/>
        <w:jc w:val="both"/>
        <w:rPr>
          <w:rFonts w:eastAsia="Calibri" w:cs="Arial"/>
          <w:noProof/>
          <w:szCs w:val="24"/>
          <w:lang w:val="hr-HR"/>
        </w:rPr>
      </w:pPr>
      <w:r>
        <w:rPr>
          <w:rFonts w:eastAsia="Calibri" w:cs="Arial"/>
          <w:noProof/>
          <w:szCs w:val="24"/>
          <w:lang w:val="hr-HR"/>
        </w:rPr>
        <w:t>Zahtjevi koji ispunjavaju</w:t>
      </w:r>
      <w:r w:rsidR="00DE13F0">
        <w:rPr>
          <w:rFonts w:eastAsia="Calibri" w:cs="Arial"/>
          <w:noProof/>
          <w:szCs w:val="24"/>
          <w:lang w:val="hr-HR"/>
        </w:rPr>
        <w:t xml:space="preserve"> </w:t>
      </w:r>
      <w:r w:rsidR="00921F0B">
        <w:rPr>
          <w:rFonts w:eastAsia="Calibri" w:cs="Arial"/>
          <w:noProof/>
          <w:szCs w:val="24"/>
          <w:lang w:val="hr-HR"/>
        </w:rPr>
        <w:t>zadane</w:t>
      </w:r>
      <w:r w:rsidR="00DE13F0">
        <w:rPr>
          <w:rFonts w:eastAsia="Calibri" w:cs="Arial"/>
          <w:noProof/>
          <w:szCs w:val="24"/>
          <w:lang w:val="hr-HR"/>
        </w:rPr>
        <w:t xml:space="preserve"> kriterije</w:t>
      </w:r>
      <w:r w:rsidR="00921F0B">
        <w:rPr>
          <w:rFonts w:eastAsia="Calibri" w:cs="Arial"/>
          <w:noProof/>
          <w:szCs w:val="24"/>
          <w:lang w:val="hr-HR"/>
        </w:rPr>
        <w:t xml:space="preserve"> iz ovog Programa</w:t>
      </w:r>
      <w:r w:rsidR="00DE13F0">
        <w:rPr>
          <w:rFonts w:eastAsia="Calibri" w:cs="Arial"/>
          <w:noProof/>
          <w:szCs w:val="24"/>
          <w:lang w:val="hr-HR"/>
        </w:rPr>
        <w:t xml:space="preserve">, </w:t>
      </w:r>
      <w:r w:rsidR="00815EF7" w:rsidRPr="00815EF7">
        <w:rPr>
          <w:rFonts w:eastAsia="Calibri" w:cs="Arial"/>
          <w:noProof/>
          <w:szCs w:val="24"/>
          <w:lang w:val="hr-HR"/>
        </w:rPr>
        <w:t xml:space="preserve">ocjenjuju </w:t>
      </w:r>
      <w:r w:rsidR="00DE13F0">
        <w:rPr>
          <w:rFonts w:eastAsia="Calibri" w:cs="Arial"/>
          <w:noProof/>
          <w:szCs w:val="24"/>
          <w:lang w:val="hr-HR"/>
        </w:rPr>
        <w:t xml:space="preserve">se </w:t>
      </w:r>
      <w:r w:rsidR="00815EF7" w:rsidRPr="00815EF7">
        <w:rPr>
          <w:rFonts w:eastAsia="Calibri" w:cs="Arial"/>
          <w:noProof/>
          <w:szCs w:val="24"/>
          <w:lang w:val="hr-HR"/>
        </w:rPr>
        <w:t xml:space="preserve">po </w:t>
      </w:r>
      <w:r w:rsidR="00DE13F0">
        <w:rPr>
          <w:rFonts w:eastAsia="Calibri" w:cs="Arial"/>
          <w:noProof/>
          <w:szCs w:val="24"/>
          <w:lang w:val="hr-HR"/>
        </w:rPr>
        <w:t>obrazcu 1.</w:t>
      </w:r>
    </w:p>
    <w:p w:rsidR="00DE13F0" w:rsidRPr="00815EF7" w:rsidRDefault="00DE13F0" w:rsidP="00DE13F0">
      <w:pPr>
        <w:jc w:val="both"/>
        <w:rPr>
          <w:rFonts w:eastAsia="Calibri" w:cs="Arial"/>
          <w:noProof/>
          <w:szCs w:val="24"/>
          <w:lang w:val="hr-HR"/>
        </w:rPr>
      </w:pPr>
      <w:r>
        <w:rPr>
          <w:rFonts w:eastAsia="Calibri" w:cs="Arial"/>
          <w:noProof/>
          <w:szCs w:val="24"/>
          <w:lang w:val="hr-HR"/>
        </w:rPr>
        <w:t>OBRAZAC 1</w:t>
      </w:r>
    </w:p>
    <w:tbl>
      <w:tblPr>
        <w:tblW w:w="9194" w:type="dxa"/>
        <w:tblLook w:val="04A0" w:firstRow="1" w:lastRow="0" w:firstColumn="1" w:lastColumn="0" w:noHBand="0" w:noVBand="1"/>
      </w:tblPr>
      <w:tblGrid>
        <w:gridCol w:w="6280"/>
        <w:gridCol w:w="1487"/>
        <w:gridCol w:w="1427"/>
      </w:tblGrid>
      <w:tr w:rsidR="008B38CD" w:rsidRPr="008B38CD" w:rsidTr="005F2857">
        <w:trPr>
          <w:trHeight w:val="507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B38CD" w:rsidRPr="008B38CD" w:rsidRDefault="008B38CD" w:rsidP="008B38CD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8B38C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bs-Latn-BA"/>
              </w:rPr>
              <w:t>KRITERIJI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8B38CD" w:rsidRPr="008B38CD" w:rsidRDefault="008B38CD" w:rsidP="008B38CD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8B38C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bs-Latn-BA"/>
              </w:rPr>
              <w:t>Mogući broj bodova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8B38CD" w:rsidRPr="008B38CD" w:rsidRDefault="008B38CD" w:rsidP="008B38CD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8B38C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bs-Latn-BA"/>
              </w:rPr>
              <w:t>Ostvareni broj bodova</w:t>
            </w:r>
          </w:p>
        </w:tc>
      </w:tr>
      <w:tr w:rsidR="008B38CD" w:rsidRPr="008B38CD" w:rsidTr="008A263D">
        <w:trPr>
          <w:trHeight w:val="307"/>
        </w:trPr>
        <w:tc>
          <w:tcPr>
            <w:tcW w:w="9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B38CD" w:rsidRPr="008B38CD" w:rsidRDefault="008B38CD" w:rsidP="008B38CD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8B38C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bs-Latn-BA"/>
              </w:rPr>
              <w:t xml:space="preserve">Broj zaposlenih u 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bs-Latn-BA"/>
              </w:rPr>
              <w:t>preduzeću</w:t>
            </w:r>
          </w:p>
        </w:tc>
      </w:tr>
      <w:tr w:rsidR="008B38CD" w:rsidRPr="008B38CD" w:rsidTr="005F2857">
        <w:trPr>
          <w:trHeight w:val="523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CD" w:rsidRPr="008B38CD" w:rsidRDefault="008B38CD" w:rsidP="001A3576">
            <w:pPr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</w:pPr>
            <w:r w:rsidRPr="008B38CD"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  <w:t xml:space="preserve">Broj zaposlenih u preduzeću </w:t>
            </w:r>
            <w:r w:rsidR="006A6611"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  <w:t xml:space="preserve">od </w:t>
            </w:r>
            <w:r w:rsidRPr="008B38CD"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  <w:t>5</w:t>
            </w:r>
            <w:r w:rsidR="006A6611"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  <w:t xml:space="preserve"> do </w:t>
            </w:r>
            <w:r w:rsidR="001A3576"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  <w:t>4</w:t>
            </w:r>
            <w:r w:rsidRPr="008B38CD"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CD" w:rsidRPr="008B38CD" w:rsidRDefault="006A6611" w:rsidP="008B38C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CD" w:rsidRPr="008B38CD" w:rsidRDefault="008B38CD" w:rsidP="008B38CD">
            <w:pPr>
              <w:rPr>
                <w:rFonts w:eastAsia="Times New Roman" w:cs="Arial"/>
                <w:color w:val="000000"/>
                <w:sz w:val="18"/>
                <w:szCs w:val="18"/>
                <w:lang w:eastAsia="bs-Latn-BA"/>
              </w:rPr>
            </w:pPr>
            <w:r w:rsidRPr="008B38CD">
              <w:rPr>
                <w:rFonts w:eastAsia="Times New Roman" w:cs="Arial"/>
                <w:color w:val="000000"/>
                <w:sz w:val="18"/>
                <w:szCs w:val="18"/>
                <w:lang w:eastAsia="bs-Latn-BA"/>
              </w:rPr>
              <w:t> </w:t>
            </w:r>
          </w:p>
        </w:tc>
      </w:tr>
      <w:tr w:rsidR="00B94D6A" w:rsidRPr="008B38CD" w:rsidTr="005F2857">
        <w:trPr>
          <w:trHeight w:val="523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D6A" w:rsidRPr="008B38CD" w:rsidRDefault="00B94D6A" w:rsidP="001A3576">
            <w:pPr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</w:pPr>
            <w:r w:rsidRPr="008B38CD"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  <w:t xml:space="preserve">Broj zaposlenih u preduzeću </w:t>
            </w:r>
            <w:r w:rsidR="006A6611"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  <w:t xml:space="preserve">od </w:t>
            </w:r>
            <w:r w:rsidR="001A3576"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  <w:t>4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  <w:t>1</w:t>
            </w:r>
            <w:r w:rsidR="006A6611"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  <w:t xml:space="preserve"> do 8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6A" w:rsidRPr="008B38CD" w:rsidRDefault="006A6611" w:rsidP="008B38C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D6A" w:rsidRPr="008B38CD" w:rsidRDefault="00B94D6A" w:rsidP="008B38CD">
            <w:pPr>
              <w:rPr>
                <w:rFonts w:eastAsia="Times New Roman" w:cs="Arial"/>
                <w:color w:val="000000"/>
                <w:sz w:val="18"/>
                <w:szCs w:val="18"/>
                <w:lang w:eastAsia="bs-Latn-BA"/>
              </w:rPr>
            </w:pPr>
          </w:p>
        </w:tc>
      </w:tr>
      <w:tr w:rsidR="008B38CD" w:rsidRPr="008B38CD" w:rsidTr="005F2857">
        <w:trPr>
          <w:trHeight w:val="523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CD" w:rsidRPr="008B38CD" w:rsidRDefault="008B38CD" w:rsidP="006A6611">
            <w:pPr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</w:pPr>
            <w:r w:rsidRPr="008B38CD"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  <w:t xml:space="preserve">Broj zaposlenih u preduzeću </w:t>
            </w:r>
            <w:r w:rsidR="006A6611"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  <w:t>od 81 do 100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CD" w:rsidRPr="008B38CD" w:rsidRDefault="006A6611" w:rsidP="008B38C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CD" w:rsidRPr="008B38CD" w:rsidRDefault="008B38CD" w:rsidP="008B38CD">
            <w:pPr>
              <w:rPr>
                <w:rFonts w:eastAsia="Times New Roman" w:cs="Arial"/>
                <w:color w:val="000000"/>
                <w:sz w:val="18"/>
                <w:szCs w:val="18"/>
                <w:lang w:eastAsia="bs-Latn-BA"/>
              </w:rPr>
            </w:pPr>
            <w:r w:rsidRPr="008B38CD">
              <w:rPr>
                <w:rFonts w:eastAsia="Times New Roman" w:cs="Arial"/>
                <w:color w:val="000000"/>
                <w:sz w:val="18"/>
                <w:szCs w:val="18"/>
                <w:lang w:eastAsia="bs-Latn-BA"/>
              </w:rPr>
              <w:t> </w:t>
            </w:r>
          </w:p>
        </w:tc>
      </w:tr>
      <w:tr w:rsidR="008B38CD" w:rsidRPr="008B38CD" w:rsidTr="005F2857">
        <w:trPr>
          <w:trHeight w:val="523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B38CD" w:rsidRPr="008B38CD" w:rsidRDefault="006A6611" w:rsidP="006A6611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8B38CD"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  <w:t xml:space="preserve">Broj zaposlenih u preduzeću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  <w:t>&gt; 100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8CD" w:rsidRPr="006A6611" w:rsidRDefault="006A6611" w:rsidP="006A661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</w:pPr>
            <w:r w:rsidRPr="006A6611"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  <w:t>1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CD" w:rsidRPr="008B38CD" w:rsidRDefault="008B38CD" w:rsidP="008B38CD">
            <w:pPr>
              <w:rPr>
                <w:rFonts w:eastAsia="Times New Roman" w:cs="Arial"/>
                <w:color w:val="000000"/>
                <w:sz w:val="18"/>
                <w:szCs w:val="18"/>
                <w:lang w:eastAsia="bs-Latn-BA"/>
              </w:rPr>
            </w:pPr>
            <w:r w:rsidRPr="008B38CD">
              <w:rPr>
                <w:rFonts w:eastAsia="Times New Roman" w:cs="Arial"/>
                <w:color w:val="000000"/>
                <w:sz w:val="18"/>
                <w:szCs w:val="18"/>
                <w:lang w:eastAsia="bs-Latn-BA"/>
              </w:rPr>
              <w:t> </w:t>
            </w:r>
          </w:p>
        </w:tc>
      </w:tr>
      <w:tr w:rsidR="008B38CD" w:rsidRPr="008B38CD" w:rsidTr="008A263D">
        <w:trPr>
          <w:trHeight w:val="307"/>
        </w:trPr>
        <w:tc>
          <w:tcPr>
            <w:tcW w:w="9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8B38CD" w:rsidRPr="008B38CD" w:rsidRDefault="00B94D6A" w:rsidP="00B94D6A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bs-Latn-BA"/>
              </w:rPr>
              <w:t>Status preduzeća</w:t>
            </w:r>
          </w:p>
        </w:tc>
      </w:tr>
      <w:tr w:rsidR="005F2857" w:rsidRPr="008B38CD" w:rsidTr="005F2857">
        <w:trPr>
          <w:trHeight w:val="523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57" w:rsidRDefault="005F2857" w:rsidP="005F2857">
            <w:pPr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  <w:t>Preduzeće zbog procesa likvidacije treba dodatna sredstva za uplatu doprinosa za penzionisanje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857" w:rsidRDefault="005F2857" w:rsidP="005F285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57" w:rsidRPr="008B38CD" w:rsidRDefault="005F2857" w:rsidP="005F2857">
            <w:pPr>
              <w:rPr>
                <w:rFonts w:eastAsia="Times New Roman" w:cs="Arial"/>
                <w:color w:val="000000"/>
                <w:sz w:val="18"/>
                <w:szCs w:val="18"/>
                <w:lang w:eastAsia="bs-Latn-BA"/>
              </w:rPr>
            </w:pPr>
          </w:p>
        </w:tc>
      </w:tr>
      <w:tr w:rsidR="005F2857" w:rsidRPr="008B38CD" w:rsidTr="005F2857">
        <w:trPr>
          <w:trHeight w:val="523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857" w:rsidRPr="008B38CD" w:rsidRDefault="005F2857" w:rsidP="005F2857">
            <w:pPr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bs-Latn-BA"/>
              </w:rPr>
              <w:t>Preduzeće zbog stečaja treba dodatna sredstva za uplatu PIO za penzionisanje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857" w:rsidRPr="008B38CD" w:rsidRDefault="005F2857" w:rsidP="005F285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57" w:rsidRPr="008B38CD" w:rsidRDefault="005F2857" w:rsidP="005F2857">
            <w:pPr>
              <w:rPr>
                <w:rFonts w:eastAsia="Times New Roman" w:cs="Arial"/>
                <w:color w:val="000000"/>
                <w:sz w:val="18"/>
                <w:szCs w:val="18"/>
                <w:lang w:eastAsia="bs-Latn-BA"/>
              </w:rPr>
            </w:pPr>
            <w:r w:rsidRPr="008B38CD">
              <w:rPr>
                <w:rFonts w:eastAsia="Times New Roman" w:cs="Arial"/>
                <w:color w:val="000000"/>
                <w:sz w:val="18"/>
                <w:szCs w:val="18"/>
                <w:lang w:eastAsia="bs-Latn-BA"/>
              </w:rPr>
              <w:t> </w:t>
            </w:r>
          </w:p>
        </w:tc>
      </w:tr>
      <w:tr w:rsidR="005F2857" w:rsidRPr="008B38CD" w:rsidTr="005F2857">
        <w:trPr>
          <w:trHeight w:val="523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857" w:rsidRPr="008B38CD" w:rsidRDefault="005F2857" w:rsidP="005F2857">
            <w:pPr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  <w:t xml:space="preserve">Preduzeće nije u stečaju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857" w:rsidRPr="008B38CD" w:rsidRDefault="005F2857" w:rsidP="005F285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57" w:rsidRPr="008B38CD" w:rsidRDefault="005F2857" w:rsidP="005F2857">
            <w:pPr>
              <w:rPr>
                <w:rFonts w:eastAsia="Times New Roman" w:cs="Arial"/>
                <w:color w:val="000000"/>
                <w:sz w:val="18"/>
                <w:szCs w:val="18"/>
                <w:lang w:eastAsia="bs-Latn-BA"/>
              </w:rPr>
            </w:pPr>
            <w:r w:rsidRPr="008B38CD">
              <w:rPr>
                <w:rFonts w:eastAsia="Times New Roman" w:cs="Arial"/>
                <w:color w:val="000000"/>
                <w:sz w:val="18"/>
                <w:szCs w:val="18"/>
                <w:lang w:eastAsia="bs-Latn-BA"/>
              </w:rPr>
              <w:t> </w:t>
            </w:r>
          </w:p>
        </w:tc>
      </w:tr>
      <w:tr w:rsidR="005F2857" w:rsidRPr="008B38CD" w:rsidTr="008A263D">
        <w:trPr>
          <w:trHeight w:val="307"/>
        </w:trPr>
        <w:tc>
          <w:tcPr>
            <w:tcW w:w="9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5F2857" w:rsidRPr="008B38CD" w:rsidRDefault="005F2857" w:rsidP="005F285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bs-Latn-BA"/>
              </w:rPr>
              <w:t>Broj radnika koji će se penzionisati</w:t>
            </w:r>
          </w:p>
        </w:tc>
      </w:tr>
      <w:tr w:rsidR="005F2857" w:rsidRPr="008B38CD" w:rsidTr="005F2857">
        <w:trPr>
          <w:trHeight w:val="523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857" w:rsidRPr="008B38CD" w:rsidRDefault="005F2857" w:rsidP="005F2857">
            <w:pPr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  <w:t>Broj penzionisanih &lt;5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857" w:rsidRPr="008B38CD" w:rsidRDefault="005F2857" w:rsidP="005F285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57" w:rsidRPr="008B38CD" w:rsidRDefault="005F2857" w:rsidP="005F2857">
            <w:pPr>
              <w:rPr>
                <w:rFonts w:eastAsia="Times New Roman" w:cs="Arial"/>
                <w:color w:val="000000"/>
                <w:sz w:val="18"/>
                <w:szCs w:val="18"/>
                <w:lang w:eastAsia="bs-Latn-BA"/>
              </w:rPr>
            </w:pPr>
            <w:r w:rsidRPr="008B38CD">
              <w:rPr>
                <w:rFonts w:eastAsia="Times New Roman" w:cs="Arial"/>
                <w:color w:val="000000"/>
                <w:sz w:val="18"/>
                <w:szCs w:val="18"/>
                <w:lang w:eastAsia="bs-Latn-BA"/>
              </w:rPr>
              <w:t> </w:t>
            </w:r>
          </w:p>
        </w:tc>
      </w:tr>
      <w:tr w:rsidR="005F2857" w:rsidRPr="008B38CD" w:rsidTr="005F2857">
        <w:trPr>
          <w:trHeight w:val="523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857" w:rsidRPr="008B38CD" w:rsidRDefault="005F2857" w:rsidP="005F2857">
            <w:pPr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  <w:t>Broj penzionisanih od 5 do 10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857" w:rsidRPr="008B38CD" w:rsidRDefault="005F2857" w:rsidP="005F285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57" w:rsidRPr="008B38CD" w:rsidRDefault="005F2857" w:rsidP="005F2857">
            <w:pPr>
              <w:rPr>
                <w:rFonts w:eastAsia="Times New Roman" w:cs="Arial"/>
                <w:color w:val="000000"/>
                <w:sz w:val="18"/>
                <w:szCs w:val="18"/>
                <w:lang w:eastAsia="bs-Latn-BA"/>
              </w:rPr>
            </w:pPr>
            <w:r w:rsidRPr="008B38CD">
              <w:rPr>
                <w:rFonts w:eastAsia="Times New Roman" w:cs="Arial"/>
                <w:color w:val="000000"/>
                <w:sz w:val="18"/>
                <w:szCs w:val="18"/>
                <w:lang w:eastAsia="bs-Latn-BA"/>
              </w:rPr>
              <w:t> </w:t>
            </w:r>
          </w:p>
        </w:tc>
      </w:tr>
      <w:tr w:rsidR="005F2857" w:rsidRPr="008B38CD" w:rsidTr="005F2857">
        <w:trPr>
          <w:trHeight w:val="523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857" w:rsidRPr="008B38CD" w:rsidRDefault="005F2857" w:rsidP="005F2857">
            <w:pPr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  <w:t>Broj penzionisanih od 11 do 20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857" w:rsidRPr="008B38CD" w:rsidRDefault="005F2857" w:rsidP="005F285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  <w:t>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57" w:rsidRPr="008B38CD" w:rsidRDefault="005F2857" w:rsidP="005F2857">
            <w:pPr>
              <w:rPr>
                <w:rFonts w:eastAsia="Times New Roman" w:cs="Arial"/>
                <w:color w:val="000000"/>
                <w:sz w:val="18"/>
                <w:szCs w:val="18"/>
                <w:lang w:eastAsia="bs-Latn-BA"/>
              </w:rPr>
            </w:pPr>
            <w:r w:rsidRPr="008B38CD">
              <w:rPr>
                <w:rFonts w:eastAsia="Times New Roman" w:cs="Arial"/>
                <w:color w:val="000000"/>
                <w:sz w:val="18"/>
                <w:szCs w:val="18"/>
                <w:lang w:eastAsia="bs-Latn-BA"/>
              </w:rPr>
              <w:t> </w:t>
            </w:r>
          </w:p>
        </w:tc>
      </w:tr>
      <w:tr w:rsidR="005F2857" w:rsidRPr="008B38CD" w:rsidTr="005F2857">
        <w:trPr>
          <w:trHeight w:val="523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857" w:rsidRDefault="005F2857" w:rsidP="005F2857">
            <w:r w:rsidRPr="002A1AD2"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  <w:t xml:space="preserve">Broj penzionisanih od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  <w:t>2</w:t>
            </w:r>
            <w:r w:rsidRPr="002A1AD2"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  <w:t xml:space="preserve">1 do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  <w:t>3</w:t>
            </w:r>
            <w:r w:rsidRPr="002A1AD2"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857" w:rsidRPr="008B38CD" w:rsidRDefault="005F2857" w:rsidP="005F285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57" w:rsidRPr="008B38CD" w:rsidRDefault="005F2857" w:rsidP="005F2857">
            <w:pPr>
              <w:rPr>
                <w:rFonts w:eastAsia="Times New Roman" w:cs="Arial"/>
                <w:color w:val="000000"/>
                <w:sz w:val="18"/>
                <w:szCs w:val="18"/>
                <w:lang w:eastAsia="bs-Latn-BA"/>
              </w:rPr>
            </w:pPr>
            <w:r w:rsidRPr="008B38CD">
              <w:rPr>
                <w:rFonts w:eastAsia="Times New Roman" w:cs="Arial"/>
                <w:color w:val="000000"/>
                <w:sz w:val="18"/>
                <w:szCs w:val="18"/>
                <w:lang w:eastAsia="bs-Latn-BA"/>
              </w:rPr>
              <w:t> </w:t>
            </w:r>
          </w:p>
        </w:tc>
      </w:tr>
      <w:tr w:rsidR="005F2857" w:rsidRPr="008B38CD" w:rsidTr="005F2857">
        <w:trPr>
          <w:trHeight w:val="523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57" w:rsidRDefault="005F2857" w:rsidP="005F2857">
            <w:r w:rsidRPr="002A1AD2"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  <w:t xml:space="preserve">Broj penzionisanih od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  <w:t>3</w:t>
            </w:r>
            <w:r w:rsidRPr="002A1AD2"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  <w:t xml:space="preserve">1 do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  <w:t>5</w:t>
            </w:r>
            <w:r w:rsidRPr="002A1AD2"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857" w:rsidRDefault="005F2857" w:rsidP="005F285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  <w:t>15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57" w:rsidRPr="008B38CD" w:rsidRDefault="005F2857" w:rsidP="005F2857">
            <w:pPr>
              <w:rPr>
                <w:rFonts w:eastAsia="Times New Roman" w:cs="Arial"/>
                <w:color w:val="000000"/>
                <w:sz w:val="18"/>
                <w:szCs w:val="18"/>
                <w:lang w:eastAsia="bs-Latn-BA"/>
              </w:rPr>
            </w:pPr>
          </w:p>
        </w:tc>
      </w:tr>
      <w:tr w:rsidR="005F2857" w:rsidRPr="008B38CD" w:rsidTr="005F2857">
        <w:trPr>
          <w:trHeight w:val="523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57" w:rsidRDefault="005F2857" w:rsidP="005F2857">
            <w:pPr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  <w:t>Broj penzionisanih &gt; 50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857" w:rsidRDefault="005F2857" w:rsidP="005F285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bs-Latn-BA"/>
              </w:rPr>
              <w:t>20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57" w:rsidRPr="008B38CD" w:rsidRDefault="005F2857" w:rsidP="005F2857">
            <w:pPr>
              <w:rPr>
                <w:rFonts w:eastAsia="Times New Roman" w:cs="Arial"/>
                <w:color w:val="000000"/>
                <w:sz w:val="18"/>
                <w:szCs w:val="18"/>
                <w:lang w:eastAsia="bs-Latn-BA"/>
              </w:rPr>
            </w:pPr>
          </w:p>
        </w:tc>
      </w:tr>
      <w:tr w:rsidR="005F2857" w:rsidRPr="008B38CD" w:rsidTr="005F2857">
        <w:trPr>
          <w:trHeight w:val="523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57" w:rsidRPr="008B38CD" w:rsidRDefault="005F2857" w:rsidP="005F2857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8B38C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bs-Latn-BA"/>
              </w:rPr>
              <w:t>UKUPNO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bs-Latn-BA"/>
              </w:rPr>
              <w:t xml:space="preserve"> OSTVARENO BODOVA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57" w:rsidRPr="008B38CD" w:rsidRDefault="005F2857" w:rsidP="005F2857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bs-Latn-BA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857" w:rsidRPr="008B38CD" w:rsidRDefault="005F2857" w:rsidP="005F2857">
            <w:pPr>
              <w:rPr>
                <w:rFonts w:eastAsia="Times New Roman" w:cs="Arial"/>
                <w:color w:val="000000"/>
                <w:sz w:val="18"/>
                <w:szCs w:val="18"/>
                <w:lang w:eastAsia="bs-Latn-BA"/>
              </w:rPr>
            </w:pPr>
            <w:r w:rsidRPr="008B38CD">
              <w:rPr>
                <w:rFonts w:eastAsia="Times New Roman" w:cs="Arial"/>
                <w:color w:val="000000"/>
                <w:sz w:val="18"/>
                <w:szCs w:val="18"/>
                <w:lang w:eastAsia="bs-Latn-BA"/>
              </w:rPr>
              <w:t> </w:t>
            </w:r>
          </w:p>
        </w:tc>
      </w:tr>
    </w:tbl>
    <w:tbl>
      <w:tblPr>
        <w:tblStyle w:val="TableGrid2"/>
        <w:tblW w:w="9301" w:type="dxa"/>
        <w:tblBorders>
          <w:top w:val="none" w:sz="0" w:space="0" w:color="auto"/>
          <w:left w:val="none" w:sz="0" w:space="0" w:color="auto"/>
          <w:bottom w:val="thinThickSmallGap" w:sz="24" w:space="0" w:color="FFC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1"/>
      </w:tblGrid>
      <w:tr w:rsidR="00870FB8" w:rsidRPr="00870FB8" w:rsidTr="00E94387">
        <w:trPr>
          <w:trHeight w:val="424"/>
        </w:trPr>
        <w:tc>
          <w:tcPr>
            <w:tcW w:w="9301" w:type="dxa"/>
            <w:vAlign w:val="center"/>
          </w:tcPr>
          <w:p w:rsidR="003D528E" w:rsidRDefault="003D528E" w:rsidP="00870FB8">
            <w:pPr>
              <w:rPr>
                <w:b/>
                <w:noProof/>
                <w:sz w:val="24"/>
                <w:szCs w:val="24"/>
                <w:lang w:val="hr-HR"/>
              </w:rPr>
            </w:pPr>
          </w:p>
          <w:p w:rsidR="00870FB8" w:rsidRPr="00870FB8" w:rsidRDefault="00870FB8" w:rsidP="00870FB8">
            <w:pPr>
              <w:rPr>
                <w:b/>
                <w:noProof/>
                <w:sz w:val="24"/>
                <w:szCs w:val="24"/>
                <w:lang w:val="hr-HR"/>
              </w:rPr>
            </w:pPr>
            <w:r w:rsidRPr="00870FB8">
              <w:rPr>
                <w:b/>
                <w:noProof/>
                <w:sz w:val="24"/>
                <w:szCs w:val="24"/>
                <w:lang w:val="hr-HR"/>
              </w:rPr>
              <w:t xml:space="preserve">7. SREDSTVA  PREDVIĐENA  ZA  DODJELU </w:t>
            </w:r>
          </w:p>
        </w:tc>
      </w:tr>
    </w:tbl>
    <w:p w:rsidR="003D528E" w:rsidRDefault="003D528E" w:rsidP="00271EFA">
      <w:pPr>
        <w:keepNext/>
        <w:shd w:val="clear" w:color="auto" w:fill="FFFFFF"/>
        <w:jc w:val="both"/>
        <w:outlineLvl w:val="0"/>
        <w:rPr>
          <w:rFonts w:eastAsia="Times New Roman" w:cs="Arial"/>
          <w:bCs/>
          <w:szCs w:val="24"/>
        </w:rPr>
      </w:pPr>
    </w:p>
    <w:p w:rsidR="00870FB8" w:rsidRPr="00870FB8" w:rsidRDefault="00870FB8" w:rsidP="00271EFA">
      <w:pPr>
        <w:keepNext/>
        <w:shd w:val="clear" w:color="auto" w:fill="FFFFFF"/>
        <w:jc w:val="both"/>
        <w:outlineLvl w:val="0"/>
        <w:rPr>
          <w:rFonts w:eastAsia="Times New Roman" w:cs="Arial"/>
          <w:bCs/>
          <w:szCs w:val="24"/>
          <w:lang w:val="x-none"/>
        </w:rPr>
      </w:pPr>
      <w:r w:rsidRPr="00870FB8">
        <w:rPr>
          <w:rFonts w:eastAsia="Times New Roman" w:cs="Arial"/>
          <w:bCs/>
          <w:szCs w:val="24"/>
        </w:rPr>
        <w:t>S</w:t>
      </w:r>
      <w:r w:rsidRPr="00870FB8">
        <w:rPr>
          <w:rFonts w:eastAsia="Times New Roman" w:cs="Arial"/>
          <w:bCs/>
          <w:szCs w:val="24"/>
          <w:lang w:val="x-none"/>
        </w:rPr>
        <w:t>redstva za prov</w:t>
      </w:r>
      <w:r w:rsidR="00D30DD9">
        <w:rPr>
          <w:rFonts w:eastAsia="Times New Roman" w:cs="Arial"/>
          <w:bCs/>
          <w:szCs w:val="24"/>
        </w:rPr>
        <w:t>ođenje</w:t>
      </w:r>
      <w:r w:rsidRPr="00870FB8">
        <w:rPr>
          <w:rFonts w:eastAsia="Times New Roman" w:cs="Arial"/>
          <w:bCs/>
          <w:szCs w:val="24"/>
          <w:lang w:val="x-none"/>
        </w:rPr>
        <w:t xml:space="preserve"> ovog </w:t>
      </w:r>
      <w:r w:rsidRPr="00870FB8">
        <w:rPr>
          <w:rFonts w:eastAsia="Times New Roman" w:cs="Arial"/>
          <w:bCs/>
          <w:szCs w:val="24"/>
        </w:rPr>
        <w:t>P</w:t>
      </w:r>
      <w:r w:rsidRPr="00870FB8">
        <w:rPr>
          <w:rFonts w:eastAsia="Times New Roman" w:cs="Arial"/>
          <w:bCs/>
          <w:szCs w:val="24"/>
          <w:lang w:val="x-none"/>
        </w:rPr>
        <w:t>rograma utvrđen</w:t>
      </w:r>
      <w:r w:rsidRPr="00870FB8">
        <w:rPr>
          <w:rFonts w:eastAsia="Times New Roman" w:cs="Arial"/>
          <w:bCs/>
          <w:szCs w:val="24"/>
        </w:rPr>
        <w:t>a su</w:t>
      </w:r>
      <w:r w:rsidRPr="00870FB8">
        <w:rPr>
          <w:rFonts w:eastAsia="Times New Roman" w:cs="Arial"/>
          <w:bCs/>
          <w:szCs w:val="24"/>
          <w:lang w:val="x-none"/>
        </w:rPr>
        <w:t xml:space="preserve"> </w:t>
      </w:r>
      <w:r w:rsidR="00260625">
        <w:rPr>
          <w:rFonts w:eastAsia="Times New Roman" w:cs="Arial"/>
          <w:bCs/>
          <w:szCs w:val="24"/>
        </w:rPr>
        <w:t>Budžetom</w:t>
      </w:r>
      <w:r w:rsidR="00260625" w:rsidRPr="00870FB8">
        <w:rPr>
          <w:rFonts w:eastAsia="Times New Roman" w:cs="Arial"/>
          <w:bCs/>
          <w:szCs w:val="24"/>
          <w:lang w:val="x-none"/>
        </w:rPr>
        <w:t xml:space="preserve"> Federacije Bosne i Hercegovine </w:t>
      </w:r>
      <w:r w:rsidR="00260625" w:rsidRPr="00870FB8">
        <w:rPr>
          <w:rFonts w:eastAsia="Times New Roman" w:cs="Arial"/>
          <w:bCs/>
          <w:szCs w:val="24"/>
        </w:rPr>
        <w:t xml:space="preserve">za </w:t>
      </w:r>
      <w:r w:rsidR="00260625" w:rsidRPr="00870FB8">
        <w:rPr>
          <w:rFonts w:eastAsia="Times New Roman" w:cs="Arial"/>
          <w:bCs/>
          <w:szCs w:val="24"/>
          <w:lang w:val="x-none"/>
        </w:rPr>
        <w:t>20</w:t>
      </w:r>
      <w:r w:rsidR="00260625">
        <w:rPr>
          <w:rFonts w:eastAsia="Times New Roman" w:cs="Arial"/>
          <w:bCs/>
          <w:szCs w:val="24"/>
        </w:rPr>
        <w:t>2</w:t>
      </w:r>
      <w:r w:rsidR="00861A51">
        <w:rPr>
          <w:rFonts w:eastAsia="Times New Roman" w:cs="Arial"/>
          <w:bCs/>
          <w:szCs w:val="24"/>
        </w:rPr>
        <w:t>3</w:t>
      </w:r>
      <w:r w:rsidR="00260625" w:rsidRPr="00870FB8">
        <w:rPr>
          <w:rFonts w:eastAsia="Times New Roman" w:cs="Arial"/>
          <w:bCs/>
          <w:szCs w:val="24"/>
          <w:lang w:val="x-none"/>
        </w:rPr>
        <w:t>. godin</w:t>
      </w:r>
      <w:r w:rsidR="00260625" w:rsidRPr="00870FB8">
        <w:rPr>
          <w:rFonts w:eastAsia="Times New Roman" w:cs="Arial"/>
          <w:bCs/>
          <w:szCs w:val="24"/>
        </w:rPr>
        <w:t>u</w:t>
      </w:r>
      <w:r w:rsidR="00260625">
        <w:rPr>
          <w:rFonts w:eastAsia="Times New Roman" w:cs="Arial"/>
          <w:bCs/>
          <w:szCs w:val="24"/>
        </w:rPr>
        <w:t>,</w:t>
      </w:r>
      <w:r w:rsidR="00260625" w:rsidRPr="00870FB8">
        <w:rPr>
          <w:rFonts w:eastAsia="Times New Roman" w:cs="Arial"/>
          <w:bCs/>
          <w:szCs w:val="24"/>
          <w:lang w:val="x-none"/>
        </w:rPr>
        <w:t xml:space="preserve"> </w:t>
      </w:r>
      <w:r w:rsidRPr="00870FB8">
        <w:rPr>
          <w:rFonts w:eastAsia="Times New Roman" w:cs="Arial"/>
          <w:bCs/>
          <w:szCs w:val="24"/>
          <w:lang w:val="x-none"/>
        </w:rPr>
        <w:t xml:space="preserve">u razdjelu </w:t>
      </w:r>
      <w:r w:rsidRPr="00870FB8">
        <w:rPr>
          <w:rFonts w:eastAsia="Times New Roman" w:cs="Arial"/>
          <w:bCs/>
          <w:szCs w:val="24"/>
        </w:rPr>
        <w:t>17, ekonomski kod 614</w:t>
      </w:r>
      <w:r w:rsidR="00C248D6">
        <w:rPr>
          <w:rFonts w:eastAsia="Times New Roman" w:cs="Arial"/>
          <w:bCs/>
          <w:szCs w:val="24"/>
        </w:rPr>
        <w:t>4</w:t>
      </w:r>
      <w:r w:rsidR="00FE2AD9">
        <w:rPr>
          <w:rFonts w:eastAsia="Times New Roman" w:cs="Arial"/>
          <w:bCs/>
          <w:szCs w:val="24"/>
        </w:rPr>
        <w:t xml:space="preserve">, </w:t>
      </w:r>
      <w:r w:rsidR="00FE2AD9" w:rsidRPr="00870FB8">
        <w:rPr>
          <w:rFonts w:eastAsia="Times New Roman" w:cs="Arial"/>
          <w:bCs/>
          <w:color w:val="000000"/>
          <w:szCs w:val="24"/>
        </w:rPr>
        <w:t>„Tekući transferi i drugi tekući rashodi - Subvencije javnim preduzećima</w:t>
      </w:r>
      <w:r w:rsidR="007D0A6B">
        <w:rPr>
          <w:rFonts w:eastAsia="Times New Roman" w:cs="Arial"/>
          <w:bCs/>
          <w:color w:val="000000"/>
          <w:szCs w:val="24"/>
        </w:rPr>
        <w:t xml:space="preserve"> </w:t>
      </w:r>
      <w:r w:rsidR="00FE2AD9">
        <w:rPr>
          <w:rFonts w:eastAsia="Times New Roman" w:cs="Arial"/>
          <w:bCs/>
          <w:color w:val="000000"/>
          <w:szCs w:val="24"/>
        </w:rPr>
        <w:t>-</w:t>
      </w:r>
      <w:r w:rsidR="007D0A6B">
        <w:rPr>
          <w:rFonts w:eastAsia="Times New Roman" w:cs="Arial"/>
          <w:bCs/>
          <w:color w:val="000000"/>
          <w:szCs w:val="24"/>
        </w:rPr>
        <w:t xml:space="preserve"> </w:t>
      </w:r>
      <w:r w:rsidR="00FE2AD9">
        <w:rPr>
          <w:rFonts w:eastAsia="Times New Roman" w:cs="Arial"/>
          <w:bCs/>
          <w:color w:val="000000"/>
          <w:szCs w:val="24"/>
        </w:rPr>
        <w:t>za uvezivanje radnog staža</w:t>
      </w:r>
      <w:r w:rsidR="00FE2AD9" w:rsidRPr="00870FB8">
        <w:rPr>
          <w:rFonts w:eastAsia="Times New Roman" w:cs="Arial"/>
          <w:bCs/>
          <w:color w:val="000000"/>
          <w:szCs w:val="24"/>
        </w:rPr>
        <w:t xml:space="preserve">“ </w:t>
      </w:r>
      <w:r w:rsidR="00FE2AD9" w:rsidRPr="00870FB8">
        <w:rPr>
          <w:rFonts w:eastAsia="Calibri" w:cs="Arial"/>
          <w:szCs w:val="24"/>
        </w:rPr>
        <w:t xml:space="preserve">u iznosu od </w:t>
      </w:r>
      <w:r w:rsidR="003230E8" w:rsidRPr="007D0A6B">
        <w:rPr>
          <w:rFonts w:eastAsia="Calibri" w:cs="Arial"/>
          <w:szCs w:val="24"/>
        </w:rPr>
        <w:t>3</w:t>
      </w:r>
      <w:r w:rsidR="00FE2AD9" w:rsidRPr="007D0A6B">
        <w:rPr>
          <w:rFonts w:eastAsia="Calibri" w:cs="Arial"/>
          <w:szCs w:val="24"/>
        </w:rPr>
        <w:t>.</w:t>
      </w:r>
      <w:r w:rsidR="00861A51">
        <w:rPr>
          <w:rFonts w:eastAsia="Calibri" w:cs="Arial"/>
          <w:szCs w:val="24"/>
        </w:rPr>
        <w:t>500</w:t>
      </w:r>
      <w:r w:rsidR="00FE2AD9" w:rsidRPr="007D0A6B">
        <w:rPr>
          <w:rFonts w:eastAsia="Calibri" w:cs="Arial"/>
          <w:szCs w:val="24"/>
        </w:rPr>
        <w:t>.000,00 KM</w:t>
      </w:r>
      <w:r w:rsidR="00FE2AD9">
        <w:rPr>
          <w:rFonts w:eastAsia="Calibri" w:cs="Arial"/>
          <w:szCs w:val="24"/>
        </w:rPr>
        <w:t>.</w:t>
      </w:r>
    </w:p>
    <w:p w:rsidR="00870FB8" w:rsidRPr="00870FB8" w:rsidRDefault="00870FB8" w:rsidP="00271EFA">
      <w:pPr>
        <w:jc w:val="both"/>
        <w:rPr>
          <w:rFonts w:eastAsia="Calibri" w:cs="Arial"/>
          <w:szCs w:val="24"/>
          <w:lang w:val="hr-HR"/>
        </w:rPr>
      </w:pPr>
      <w:r w:rsidRPr="00870FB8">
        <w:rPr>
          <w:rFonts w:eastAsia="Calibri" w:cs="Arial"/>
          <w:szCs w:val="24"/>
          <w:lang w:val="hr-HR"/>
        </w:rPr>
        <w:t xml:space="preserve">Navedena sredstva su grant sredstva </w:t>
      </w:r>
      <w:r w:rsidR="00CB6AB9">
        <w:rPr>
          <w:rFonts w:eastAsia="Calibri" w:cs="Arial"/>
          <w:szCs w:val="24"/>
          <w:lang w:val="hr-HR"/>
        </w:rPr>
        <w:t>Federalnog ministarstva energije, rudarstva i industrije (u daljem tekstu: Ministarstvo)</w:t>
      </w:r>
      <w:r w:rsidRPr="00870FB8">
        <w:rPr>
          <w:rFonts w:eastAsia="Calibri" w:cs="Arial"/>
          <w:szCs w:val="24"/>
          <w:lang w:val="hr-HR"/>
        </w:rPr>
        <w:t xml:space="preserve"> i dodjeljivati će se po </w:t>
      </w:r>
      <w:r w:rsidR="003230E8">
        <w:rPr>
          <w:rFonts w:eastAsia="Calibri" w:cs="Arial"/>
          <w:szCs w:val="24"/>
          <w:lang w:val="hr-HR"/>
        </w:rPr>
        <w:t xml:space="preserve">ovom Programu i </w:t>
      </w:r>
      <w:r w:rsidRPr="00870FB8">
        <w:rPr>
          <w:rFonts w:eastAsia="Calibri" w:cs="Arial"/>
          <w:szCs w:val="24"/>
          <w:lang w:val="hr-HR"/>
        </w:rPr>
        <w:t xml:space="preserve">raspisanom Javnom </w:t>
      </w:r>
      <w:r w:rsidRPr="00870FB8">
        <w:rPr>
          <w:rFonts w:eastAsia="Calibri" w:cs="Arial"/>
          <w:szCs w:val="24"/>
        </w:rPr>
        <w:t>pozivu</w:t>
      </w:r>
      <w:r w:rsidRPr="00870FB8">
        <w:rPr>
          <w:rFonts w:eastAsia="Calibri" w:cs="Arial"/>
          <w:szCs w:val="24"/>
          <w:lang w:val="hr-HR"/>
        </w:rPr>
        <w:t>.</w:t>
      </w:r>
    </w:p>
    <w:p w:rsidR="00611006" w:rsidRDefault="00FB1FD3" w:rsidP="00271EFA">
      <w:pPr>
        <w:spacing w:before="120" w:after="240"/>
        <w:jc w:val="both"/>
        <w:rPr>
          <w:rFonts w:eastAsia="Calibri" w:cs="Arial"/>
          <w:szCs w:val="24"/>
        </w:rPr>
      </w:pPr>
      <w:r w:rsidRPr="00FB1FD3">
        <w:rPr>
          <w:rFonts w:eastAsia="Calibri" w:cs="Arial"/>
          <w:szCs w:val="24"/>
        </w:rPr>
        <w:lastRenderedPageBreak/>
        <w:t>Dodjela sredstava će</w:t>
      </w:r>
      <w:r w:rsidR="003230E8">
        <w:rPr>
          <w:rFonts w:eastAsia="Calibri" w:cs="Arial"/>
          <w:szCs w:val="24"/>
        </w:rPr>
        <w:t xml:space="preserve"> biti</w:t>
      </w:r>
      <w:r w:rsidRPr="00FB1FD3">
        <w:rPr>
          <w:rFonts w:eastAsia="Calibri" w:cs="Arial"/>
          <w:szCs w:val="24"/>
        </w:rPr>
        <w:t xml:space="preserve"> regulisana ugovorom o dodjeli grant sredstava, koji se sklapa između </w:t>
      </w:r>
      <w:r w:rsidR="006F4DB0">
        <w:rPr>
          <w:rFonts w:eastAsia="Calibri" w:cs="Arial"/>
          <w:szCs w:val="24"/>
        </w:rPr>
        <w:t>Ministarstva</w:t>
      </w:r>
      <w:r w:rsidRPr="00FB1FD3">
        <w:rPr>
          <w:rFonts w:eastAsia="Calibri" w:cs="Arial"/>
          <w:szCs w:val="24"/>
        </w:rPr>
        <w:t xml:space="preserve"> sa jedne strane, i korisnika, sa druge strane</w:t>
      </w:r>
      <w:r w:rsidR="00812CCC">
        <w:rPr>
          <w:rFonts w:eastAsia="Calibri" w:cs="Arial"/>
          <w:szCs w:val="24"/>
        </w:rPr>
        <w:t>.</w:t>
      </w:r>
    </w:p>
    <w:p w:rsidR="00C85B58" w:rsidRDefault="00C85B58" w:rsidP="00B05F29">
      <w:pPr>
        <w:jc w:val="both"/>
        <w:rPr>
          <w:rFonts w:cs="Arial"/>
        </w:rPr>
      </w:pPr>
      <w:r w:rsidRPr="00E00BD2">
        <w:rPr>
          <w:rFonts w:cs="Arial"/>
        </w:rPr>
        <w:t xml:space="preserve">Nakon </w:t>
      </w:r>
      <w:r w:rsidR="00E00BD2">
        <w:rPr>
          <w:rFonts w:cs="Arial"/>
        </w:rPr>
        <w:t>potpisivanja ugovora</w:t>
      </w:r>
      <w:r w:rsidRPr="00E00BD2">
        <w:rPr>
          <w:rFonts w:cs="Arial"/>
        </w:rPr>
        <w:t xml:space="preserve"> Ministarstvo </w:t>
      </w:r>
      <w:r w:rsidR="000830A9" w:rsidRPr="00E00BD2">
        <w:rPr>
          <w:rFonts w:cs="Arial"/>
        </w:rPr>
        <w:t xml:space="preserve">će </w:t>
      </w:r>
      <w:r w:rsidRPr="00E00BD2">
        <w:rPr>
          <w:rFonts w:cs="Arial"/>
        </w:rPr>
        <w:t xml:space="preserve">dati </w:t>
      </w:r>
      <w:r>
        <w:rPr>
          <w:rFonts w:cs="Arial"/>
        </w:rPr>
        <w:t>nalog Trezoru Federacije BiH da izvrši uplatu odobrenih sredstava na račun Federalnog zavoda PIO/MIO.</w:t>
      </w:r>
    </w:p>
    <w:p w:rsidR="00B05F29" w:rsidRPr="00787E21" w:rsidRDefault="00B05F29" w:rsidP="00B05F29">
      <w:pPr>
        <w:jc w:val="both"/>
        <w:rPr>
          <w:rFonts w:cs="Arial"/>
        </w:rPr>
      </w:pPr>
      <w:r w:rsidRPr="00787E21">
        <w:rPr>
          <w:rFonts w:cs="Arial"/>
        </w:rPr>
        <w:t>Napomena:</w:t>
      </w:r>
    </w:p>
    <w:p w:rsidR="00B05F29" w:rsidRPr="000830A9" w:rsidRDefault="00861A51" w:rsidP="00B05F29">
      <w:pPr>
        <w:jc w:val="both"/>
        <w:rPr>
          <w:rFonts w:cs="Arial"/>
          <w:strike/>
        </w:rPr>
      </w:pPr>
      <w:r w:rsidRPr="00E00BD2">
        <w:rPr>
          <w:rFonts w:cs="Arial"/>
        </w:rPr>
        <w:t xml:space="preserve">U slučaju da je u pitanju privredno društvo u postupku </w:t>
      </w:r>
      <w:r w:rsidRPr="00790EBF">
        <w:rPr>
          <w:rFonts w:cs="Arial"/>
        </w:rPr>
        <w:t>likvidacije,</w:t>
      </w:r>
      <w:r w:rsidRPr="00E00BD2">
        <w:rPr>
          <w:rFonts w:cs="Arial"/>
        </w:rPr>
        <w:t xml:space="preserve"> o</w:t>
      </w:r>
      <w:r w:rsidR="00B05F29" w:rsidRPr="00E00BD2">
        <w:rPr>
          <w:rFonts w:cs="Arial"/>
        </w:rPr>
        <w:t xml:space="preserve">dobrena sredstva Ministarstvo će uplaćivati na račun </w:t>
      </w:r>
      <w:r w:rsidR="00B05F29" w:rsidRPr="00787E21">
        <w:rPr>
          <w:rFonts w:cs="Arial"/>
        </w:rPr>
        <w:t>Federalnog zavoda PIO/MIO,</w:t>
      </w:r>
      <w:r w:rsidR="00546061" w:rsidRPr="00787E21">
        <w:rPr>
          <w:rFonts w:cs="Arial"/>
        </w:rPr>
        <w:t xml:space="preserve"> Zavoda zdravstvenog osiguranja i reosiguranja Federacije BiH, nadležnog kantonalnog Zavoda zdravstvenog osiguranja, Federalnog zavoda za zapošljavanje i nadležnog kant</w:t>
      </w:r>
      <w:r w:rsidR="00E00BD2">
        <w:rPr>
          <w:rFonts w:cs="Arial"/>
        </w:rPr>
        <w:t>onalnog zavoda za zapošljavanje,</w:t>
      </w:r>
      <w:r w:rsidR="00B05F29" w:rsidRPr="00787E21">
        <w:rPr>
          <w:rFonts w:cs="Arial"/>
        </w:rPr>
        <w:t xml:space="preserve"> </w:t>
      </w:r>
      <w:r w:rsidR="000830A9" w:rsidRPr="00E00BD2">
        <w:rPr>
          <w:rFonts w:cs="Arial"/>
        </w:rPr>
        <w:t>n</w:t>
      </w:r>
      <w:r w:rsidR="00B05F29" w:rsidRPr="00E00BD2">
        <w:rPr>
          <w:rFonts w:cs="Arial"/>
        </w:rPr>
        <w:t xml:space="preserve">akon </w:t>
      </w:r>
      <w:r w:rsidR="000830A9" w:rsidRPr="00E00BD2">
        <w:rPr>
          <w:rFonts w:cs="Arial"/>
        </w:rPr>
        <w:t>što korisnik grant sredstava dostavi potrebne podatke za realizaciju uplate na prethodno navedene račune</w:t>
      </w:r>
      <w:r w:rsidR="000830A9">
        <w:rPr>
          <w:rFonts w:cs="Arial"/>
        </w:rPr>
        <w:t>.</w:t>
      </w:r>
    </w:p>
    <w:p w:rsidR="005B1659" w:rsidRDefault="00110114" w:rsidP="00271EFA">
      <w:pPr>
        <w:spacing w:before="120" w:after="240"/>
        <w:jc w:val="both"/>
        <w:rPr>
          <w:rFonts w:eastAsia="Calibri" w:cs="Arial"/>
          <w:szCs w:val="24"/>
        </w:rPr>
      </w:pPr>
      <w:r w:rsidRPr="00790EBF">
        <w:rPr>
          <w:rFonts w:eastAsia="Calibri" w:cs="Arial"/>
          <w:szCs w:val="24"/>
        </w:rPr>
        <w:t xml:space="preserve">Minimalan iznos sredstava po ovom programu je 1.000,00 KM, </w:t>
      </w:r>
      <w:r>
        <w:rPr>
          <w:rFonts w:eastAsia="Calibri" w:cs="Arial"/>
          <w:szCs w:val="24"/>
        </w:rPr>
        <w:t>a m</w:t>
      </w:r>
      <w:r w:rsidR="005B1659" w:rsidRPr="00C548A3">
        <w:rPr>
          <w:rFonts w:eastAsia="Calibri" w:cs="Arial"/>
          <w:szCs w:val="24"/>
        </w:rPr>
        <w:t xml:space="preserve">aksimalan iznos sredstava </w:t>
      </w:r>
      <w:r w:rsidR="000A297B" w:rsidRPr="00C548A3">
        <w:rPr>
          <w:rFonts w:eastAsia="Calibri" w:cs="Arial"/>
          <w:szCs w:val="24"/>
        </w:rPr>
        <w:t xml:space="preserve">koji se može odobriti </w:t>
      </w:r>
      <w:r w:rsidR="005B1659" w:rsidRPr="00C548A3">
        <w:rPr>
          <w:rFonts w:eastAsia="Calibri" w:cs="Arial"/>
          <w:szCs w:val="24"/>
        </w:rPr>
        <w:t xml:space="preserve">za jedno </w:t>
      </w:r>
      <w:r w:rsidR="00D32823" w:rsidRPr="00C548A3">
        <w:rPr>
          <w:rFonts w:eastAsia="Calibri" w:cs="Arial"/>
          <w:szCs w:val="24"/>
        </w:rPr>
        <w:t>preduzeće</w:t>
      </w:r>
      <w:r w:rsidR="005B1659" w:rsidRPr="00C548A3">
        <w:rPr>
          <w:rFonts w:eastAsia="Calibri" w:cs="Arial"/>
          <w:szCs w:val="24"/>
        </w:rPr>
        <w:t xml:space="preserve"> </w:t>
      </w:r>
      <w:r w:rsidR="005B1659" w:rsidRPr="00110114">
        <w:rPr>
          <w:rFonts w:eastAsia="Calibri" w:cs="Arial"/>
          <w:szCs w:val="24"/>
        </w:rPr>
        <w:t xml:space="preserve">je </w:t>
      </w:r>
      <w:r w:rsidR="006F54EE" w:rsidRPr="00110114">
        <w:rPr>
          <w:rFonts w:eastAsia="Calibri" w:cs="Arial"/>
          <w:szCs w:val="24"/>
        </w:rPr>
        <w:t>3</w:t>
      </w:r>
      <w:r w:rsidR="00D32823" w:rsidRPr="00110114">
        <w:rPr>
          <w:rFonts w:eastAsia="Calibri" w:cs="Arial"/>
          <w:szCs w:val="24"/>
        </w:rPr>
        <w:t>00</w:t>
      </w:r>
      <w:r w:rsidR="009C7DC3">
        <w:rPr>
          <w:rFonts w:eastAsia="Calibri" w:cs="Arial"/>
          <w:szCs w:val="24"/>
        </w:rPr>
        <w:t>.000,00 KM po jednom javnom pozivu.</w:t>
      </w:r>
    </w:p>
    <w:p w:rsidR="009C7DC3" w:rsidRPr="00790EBF" w:rsidRDefault="009C7DC3" w:rsidP="00271EFA">
      <w:pPr>
        <w:spacing w:before="120" w:after="240"/>
        <w:jc w:val="both"/>
        <w:rPr>
          <w:rFonts w:eastAsia="Calibri" w:cs="Arial"/>
          <w:szCs w:val="24"/>
        </w:rPr>
      </w:pPr>
      <w:r w:rsidRPr="00790EBF">
        <w:rPr>
          <w:rFonts w:eastAsia="Calibri" w:cs="Arial"/>
          <w:szCs w:val="24"/>
        </w:rPr>
        <w:t xml:space="preserve">Privredno društvo  može </w:t>
      </w:r>
      <w:r w:rsidR="000D0A8B" w:rsidRPr="00790EBF">
        <w:rPr>
          <w:rFonts w:eastAsia="Calibri" w:cs="Arial"/>
          <w:szCs w:val="24"/>
        </w:rPr>
        <w:t>aplicirati</w:t>
      </w:r>
      <w:r w:rsidRPr="00790EBF">
        <w:rPr>
          <w:rFonts w:eastAsia="Calibri" w:cs="Arial"/>
          <w:szCs w:val="24"/>
        </w:rPr>
        <w:t xml:space="preserve"> </w:t>
      </w:r>
      <w:r w:rsidR="00790EBF" w:rsidRPr="00790EBF">
        <w:rPr>
          <w:rFonts w:eastAsia="Calibri" w:cs="Arial"/>
          <w:szCs w:val="24"/>
        </w:rPr>
        <w:t>za dodjelu sredstava po svakom raspisanom javnom pozivu.</w:t>
      </w:r>
    </w:p>
    <w:tbl>
      <w:tblPr>
        <w:tblStyle w:val="TableGrid11"/>
        <w:tblW w:w="9301" w:type="dxa"/>
        <w:tblBorders>
          <w:top w:val="none" w:sz="0" w:space="0" w:color="auto"/>
          <w:left w:val="none" w:sz="0" w:space="0" w:color="auto"/>
          <w:bottom w:val="thinThickSmallGap" w:sz="24" w:space="0" w:color="FFC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1"/>
      </w:tblGrid>
      <w:tr w:rsidR="00870FB8" w:rsidRPr="00870FB8" w:rsidTr="00E94387">
        <w:trPr>
          <w:trHeight w:val="380"/>
        </w:trPr>
        <w:tc>
          <w:tcPr>
            <w:tcW w:w="9301" w:type="dxa"/>
            <w:vAlign w:val="center"/>
          </w:tcPr>
          <w:p w:rsidR="00870FB8" w:rsidRPr="00870FB8" w:rsidRDefault="00870FB8" w:rsidP="00870FB8">
            <w:pPr>
              <w:rPr>
                <w:noProof/>
                <w:sz w:val="24"/>
                <w:szCs w:val="24"/>
                <w:lang w:val="hr-HR"/>
              </w:rPr>
            </w:pPr>
            <w:r w:rsidRPr="00870FB8">
              <w:rPr>
                <w:b/>
                <w:noProof/>
                <w:sz w:val="24"/>
                <w:szCs w:val="24"/>
                <w:lang w:val="hr-HR"/>
              </w:rPr>
              <w:t xml:space="preserve">8. TRAJANJE  PROGRAMA  </w:t>
            </w:r>
          </w:p>
        </w:tc>
      </w:tr>
    </w:tbl>
    <w:p w:rsidR="00870FB8" w:rsidRPr="00537450" w:rsidRDefault="00870FB8" w:rsidP="00870FB8">
      <w:pPr>
        <w:jc w:val="both"/>
        <w:rPr>
          <w:rFonts w:eastAsia="Calibri" w:cs="Arial"/>
          <w:sz w:val="20"/>
          <w:szCs w:val="20"/>
        </w:rPr>
      </w:pPr>
    </w:p>
    <w:p w:rsidR="00870FB8" w:rsidRPr="00870FB8" w:rsidRDefault="00870FB8" w:rsidP="00870FB8">
      <w:pPr>
        <w:autoSpaceDE w:val="0"/>
        <w:autoSpaceDN w:val="0"/>
        <w:adjustRightInd w:val="0"/>
        <w:jc w:val="both"/>
        <w:rPr>
          <w:rFonts w:eastAsia="Calibri" w:cs="Arial"/>
          <w:noProof/>
          <w:szCs w:val="24"/>
          <w:lang w:val="hr-HR"/>
        </w:rPr>
      </w:pPr>
      <w:r w:rsidRPr="00870FB8">
        <w:rPr>
          <w:rFonts w:eastAsia="Calibri" w:cs="Arial"/>
          <w:noProof/>
          <w:szCs w:val="24"/>
          <w:lang w:val="hr-HR"/>
        </w:rPr>
        <w:t xml:space="preserve">Program traje do utroška sredstava, a najkasnije do </w:t>
      </w:r>
      <w:r w:rsidR="00F6362D">
        <w:rPr>
          <w:rFonts w:eastAsia="Calibri" w:cs="Arial"/>
          <w:noProof/>
          <w:szCs w:val="24"/>
          <w:lang w:val="hr-HR"/>
        </w:rPr>
        <w:t>kraja fiskalne godine</w:t>
      </w:r>
      <w:r w:rsidR="001D5279">
        <w:rPr>
          <w:rFonts w:eastAsia="Calibri" w:cs="Arial"/>
          <w:noProof/>
          <w:szCs w:val="24"/>
          <w:lang w:val="hr-HR"/>
        </w:rPr>
        <w:t xml:space="preserve"> (odnosno do 31.12.20</w:t>
      </w:r>
      <w:r w:rsidR="00260625">
        <w:rPr>
          <w:rFonts w:eastAsia="Calibri" w:cs="Arial"/>
          <w:noProof/>
          <w:szCs w:val="24"/>
          <w:lang w:val="hr-HR"/>
        </w:rPr>
        <w:t>2</w:t>
      </w:r>
      <w:r w:rsidR="00861A51">
        <w:rPr>
          <w:rFonts w:eastAsia="Calibri" w:cs="Arial"/>
          <w:noProof/>
          <w:szCs w:val="24"/>
          <w:lang w:val="hr-HR"/>
        </w:rPr>
        <w:t>3</w:t>
      </w:r>
      <w:r w:rsidR="001D5279">
        <w:rPr>
          <w:rFonts w:eastAsia="Calibri" w:cs="Arial"/>
          <w:noProof/>
          <w:szCs w:val="24"/>
          <w:lang w:val="hr-HR"/>
        </w:rPr>
        <w:t>. godine)</w:t>
      </w:r>
      <w:r w:rsidR="00F6362D">
        <w:rPr>
          <w:rFonts w:eastAsia="Calibri" w:cs="Arial"/>
          <w:noProof/>
          <w:szCs w:val="24"/>
          <w:lang w:val="hr-HR"/>
        </w:rPr>
        <w:t>.</w:t>
      </w:r>
    </w:p>
    <w:p w:rsidR="00870FB8" w:rsidRPr="00537450" w:rsidRDefault="00870FB8" w:rsidP="00870FB8">
      <w:pPr>
        <w:rPr>
          <w:rFonts w:eastAsia="Calibri" w:cs="Arial"/>
          <w:sz w:val="20"/>
          <w:szCs w:val="20"/>
        </w:rPr>
      </w:pPr>
    </w:p>
    <w:tbl>
      <w:tblPr>
        <w:tblStyle w:val="TableGrid11"/>
        <w:tblW w:w="9317" w:type="dxa"/>
        <w:tblBorders>
          <w:top w:val="none" w:sz="0" w:space="0" w:color="auto"/>
          <w:left w:val="none" w:sz="0" w:space="0" w:color="auto"/>
          <w:bottom w:val="thinThickSmallGap" w:sz="24" w:space="0" w:color="FFC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7"/>
      </w:tblGrid>
      <w:tr w:rsidR="00870FB8" w:rsidRPr="00870FB8" w:rsidTr="00E94387">
        <w:trPr>
          <w:trHeight w:val="424"/>
        </w:trPr>
        <w:tc>
          <w:tcPr>
            <w:tcW w:w="9317" w:type="dxa"/>
            <w:vAlign w:val="center"/>
          </w:tcPr>
          <w:p w:rsidR="00870FB8" w:rsidRPr="00870FB8" w:rsidRDefault="00870FB8" w:rsidP="00870FB8">
            <w:pPr>
              <w:rPr>
                <w:b/>
                <w:noProof/>
                <w:sz w:val="24"/>
                <w:szCs w:val="24"/>
                <w:lang w:val="hr-HR"/>
              </w:rPr>
            </w:pPr>
            <w:r w:rsidRPr="00870FB8">
              <w:rPr>
                <w:b/>
                <w:noProof/>
                <w:sz w:val="24"/>
                <w:szCs w:val="24"/>
                <w:lang w:val="hr-HR"/>
              </w:rPr>
              <w:t xml:space="preserve">9. TIJELA  NADLEŽNA ZA PROVOĐENJE PROGRAMA  </w:t>
            </w:r>
          </w:p>
        </w:tc>
      </w:tr>
    </w:tbl>
    <w:p w:rsidR="00870FB8" w:rsidRPr="00537450" w:rsidRDefault="00870FB8" w:rsidP="00870FB8">
      <w:pPr>
        <w:rPr>
          <w:rFonts w:eastAsia="Calibri" w:cs="Arial"/>
          <w:color w:val="FF0000"/>
          <w:sz w:val="20"/>
          <w:szCs w:val="20"/>
          <w:lang w:val="hr-HR"/>
        </w:rPr>
      </w:pPr>
    </w:p>
    <w:p w:rsidR="00870FB8" w:rsidRPr="00870FB8" w:rsidRDefault="00870FB8" w:rsidP="004D32E7">
      <w:pPr>
        <w:jc w:val="both"/>
        <w:rPr>
          <w:rFonts w:eastAsia="Calibri" w:cs="Arial"/>
          <w:szCs w:val="24"/>
        </w:rPr>
      </w:pPr>
      <w:r w:rsidRPr="00870FB8">
        <w:rPr>
          <w:rFonts w:eastAsia="Calibri" w:cs="Arial"/>
          <w:szCs w:val="24"/>
          <w:lang w:val="hr-HR"/>
        </w:rPr>
        <w:t xml:space="preserve">Tijela nadležna za provođenje i nadzor nad namjenskim korištenjem sredstava po ovom Programu </w:t>
      </w:r>
      <w:r w:rsidRPr="00870FB8">
        <w:rPr>
          <w:rFonts w:eastAsia="Calibri" w:cs="Arial"/>
          <w:szCs w:val="24"/>
        </w:rPr>
        <w:t>su Ministarstvo</w:t>
      </w:r>
      <w:r w:rsidR="00057F3B">
        <w:rPr>
          <w:rFonts w:eastAsia="Calibri" w:cs="Arial"/>
          <w:szCs w:val="24"/>
        </w:rPr>
        <w:t xml:space="preserve">, </w:t>
      </w:r>
      <w:r w:rsidRPr="00870FB8">
        <w:rPr>
          <w:rFonts w:eastAsia="Calibri" w:cs="Arial"/>
          <w:szCs w:val="24"/>
        </w:rPr>
        <w:t xml:space="preserve">Federalno ministarstvo finansija/financija, </w:t>
      </w:r>
      <w:r w:rsidR="00057F3B">
        <w:rPr>
          <w:rFonts w:eastAsia="Calibri" w:cs="Arial"/>
          <w:szCs w:val="24"/>
        </w:rPr>
        <w:t>Porezna uprava Federacije Bosne i Hercegovine i F</w:t>
      </w:r>
      <w:r w:rsidR="00AC7EED">
        <w:rPr>
          <w:rFonts w:eastAsia="Calibri" w:cs="Arial"/>
          <w:szCs w:val="24"/>
        </w:rPr>
        <w:t>ederalni</w:t>
      </w:r>
      <w:r w:rsidR="006D2DDC">
        <w:rPr>
          <w:rFonts w:eastAsia="Calibri" w:cs="Arial"/>
          <w:szCs w:val="24"/>
        </w:rPr>
        <w:t xml:space="preserve"> zavod </w:t>
      </w:r>
      <w:r w:rsidR="00057F3B">
        <w:rPr>
          <w:rFonts w:eastAsia="Calibri" w:cs="Arial"/>
          <w:szCs w:val="24"/>
        </w:rPr>
        <w:t xml:space="preserve">PIO/MIO, </w:t>
      </w:r>
      <w:r w:rsidRPr="00870FB8">
        <w:rPr>
          <w:rFonts w:eastAsia="Calibri" w:cs="Arial"/>
          <w:szCs w:val="24"/>
        </w:rPr>
        <w:t>svako u okviru svoje nadležnosti.</w:t>
      </w:r>
      <w:r w:rsidR="00F66E1F">
        <w:rPr>
          <w:rFonts w:eastAsia="Calibri" w:cs="Arial"/>
          <w:szCs w:val="24"/>
        </w:rPr>
        <w:t xml:space="preserve"> </w:t>
      </w:r>
    </w:p>
    <w:p w:rsidR="009C70D1" w:rsidRPr="00AE348F" w:rsidRDefault="00E442C6" w:rsidP="00E442C6">
      <w:pPr>
        <w:jc w:val="both"/>
        <w:rPr>
          <w:rFonts w:eastAsia="Times New Roman" w:cs="Times New Roman"/>
          <w:bCs/>
          <w:strike/>
          <w:color w:val="FF0000"/>
          <w:szCs w:val="24"/>
          <w:lang w:val="hr-HR" w:eastAsia="hr-HR"/>
        </w:rPr>
      </w:pPr>
      <w:r w:rsidRPr="0080328E">
        <w:rPr>
          <w:rFonts w:eastAsia="Times New Roman" w:cs="Times New Roman"/>
          <w:bCs/>
          <w:szCs w:val="24"/>
          <w:lang w:val="hr-HR" w:eastAsia="hr-HR"/>
        </w:rPr>
        <w:t>U slučaju da se dodijeljena sredstva ne opravdaju</w:t>
      </w:r>
      <w:r w:rsidR="00DF3274" w:rsidRPr="0080328E">
        <w:rPr>
          <w:rFonts w:eastAsia="Times New Roman" w:cs="Times New Roman"/>
          <w:bCs/>
          <w:szCs w:val="24"/>
          <w:lang w:val="hr-HR" w:eastAsia="hr-HR"/>
        </w:rPr>
        <w:t>,</w:t>
      </w:r>
      <w:r w:rsidR="0005192B" w:rsidRPr="0080328E">
        <w:rPr>
          <w:rFonts w:eastAsia="Times New Roman" w:cs="Times New Roman"/>
          <w:bCs/>
          <w:szCs w:val="24"/>
          <w:lang w:val="hr-HR" w:eastAsia="hr-HR"/>
        </w:rPr>
        <w:t xml:space="preserve"> </w:t>
      </w:r>
      <w:r w:rsidR="00DF3274" w:rsidRPr="0080328E">
        <w:rPr>
          <w:rFonts w:eastAsia="Times New Roman" w:cs="Times New Roman"/>
          <w:bCs/>
          <w:szCs w:val="24"/>
          <w:lang w:val="hr-HR" w:eastAsia="hr-HR"/>
        </w:rPr>
        <w:t xml:space="preserve">odnosno ukoliko uplatom sredstava odobrenih po Odluci o dodjeli sredstava </w:t>
      </w:r>
      <w:r w:rsidR="00AE348F">
        <w:rPr>
          <w:rFonts w:eastAsia="Times New Roman" w:cs="Times New Roman"/>
          <w:bCs/>
          <w:szCs w:val="24"/>
          <w:lang w:val="hr-HR" w:eastAsia="hr-HR"/>
        </w:rPr>
        <w:t>zaposlenik</w:t>
      </w:r>
      <w:r w:rsidR="00DF3274" w:rsidRPr="0080328E">
        <w:rPr>
          <w:rFonts w:eastAsia="Times New Roman" w:cs="Times New Roman"/>
          <w:bCs/>
          <w:szCs w:val="24"/>
          <w:lang w:val="hr-HR" w:eastAsia="hr-HR"/>
        </w:rPr>
        <w:t xml:space="preserve"> nije „otišao“ u penziju</w:t>
      </w:r>
      <w:r w:rsidR="00EE30C2" w:rsidRPr="0080328E">
        <w:rPr>
          <w:rFonts w:eastAsia="Times New Roman" w:cs="Times New Roman"/>
          <w:bCs/>
          <w:szCs w:val="24"/>
          <w:lang w:val="hr-HR" w:eastAsia="hr-HR"/>
        </w:rPr>
        <w:t>,</w:t>
      </w:r>
      <w:r w:rsidR="009C70D1" w:rsidRPr="0080328E">
        <w:rPr>
          <w:rFonts w:eastAsia="Times New Roman" w:cs="Times New Roman"/>
          <w:bCs/>
          <w:szCs w:val="24"/>
          <w:lang w:val="hr-HR" w:eastAsia="hr-HR"/>
        </w:rPr>
        <w:t xml:space="preserve"> </w:t>
      </w:r>
      <w:r w:rsidR="00AE348F">
        <w:rPr>
          <w:rFonts w:eastAsia="Times New Roman" w:cs="Times New Roman"/>
          <w:bCs/>
          <w:szCs w:val="24"/>
          <w:lang w:val="hr-HR" w:eastAsia="hr-HR"/>
        </w:rPr>
        <w:t xml:space="preserve">Ministarstvo će od korisnika zatražiti </w:t>
      </w:r>
      <w:r w:rsidR="009C70D1" w:rsidRPr="0080328E">
        <w:rPr>
          <w:rFonts w:eastAsia="Times New Roman" w:cs="Times New Roman"/>
          <w:bCs/>
          <w:szCs w:val="24"/>
          <w:lang w:val="hr-HR" w:eastAsia="hr-HR"/>
        </w:rPr>
        <w:t>povrat sredstava</w:t>
      </w:r>
      <w:r w:rsidR="00861A51">
        <w:rPr>
          <w:rFonts w:eastAsia="Times New Roman" w:cs="Times New Roman"/>
          <w:bCs/>
          <w:szCs w:val="24"/>
          <w:lang w:val="hr-HR" w:eastAsia="hr-HR"/>
        </w:rPr>
        <w:t>,</w:t>
      </w:r>
      <w:r w:rsidR="00D90274">
        <w:rPr>
          <w:rFonts w:eastAsia="Times New Roman" w:cs="Times New Roman"/>
          <w:bCs/>
          <w:szCs w:val="24"/>
          <w:lang w:val="hr-HR" w:eastAsia="hr-HR"/>
        </w:rPr>
        <w:t xml:space="preserve"> </w:t>
      </w:r>
      <w:r w:rsidR="00AE348F">
        <w:rPr>
          <w:rFonts w:eastAsia="Times New Roman" w:cs="Times New Roman"/>
          <w:bCs/>
          <w:szCs w:val="24"/>
          <w:lang w:val="hr-HR" w:eastAsia="hr-HR"/>
        </w:rPr>
        <w:t>što će se detaljnije definisati Ugovor</w:t>
      </w:r>
      <w:r w:rsidR="001D4DE2">
        <w:rPr>
          <w:rFonts w:eastAsia="Times New Roman" w:cs="Times New Roman"/>
          <w:bCs/>
          <w:szCs w:val="24"/>
          <w:lang w:val="hr-HR" w:eastAsia="hr-HR"/>
        </w:rPr>
        <w:t>o</w:t>
      </w:r>
      <w:r w:rsidR="00AE348F">
        <w:rPr>
          <w:rFonts w:eastAsia="Times New Roman" w:cs="Times New Roman"/>
          <w:bCs/>
          <w:szCs w:val="24"/>
          <w:lang w:val="hr-HR" w:eastAsia="hr-HR"/>
        </w:rPr>
        <w:t xml:space="preserve">m o dodjeli </w:t>
      </w:r>
      <w:r w:rsidR="00861A51" w:rsidRPr="00E00BD2">
        <w:rPr>
          <w:rFonts w:eastAsia="Times New Roman" w:cs="Times New Roman"/>
          <w:bCs/>
          <w:szCs w:val="24"/>
          <w:lang w:val="hr-HR" w:eastAsia="hr-HR"/>
        </w:rPr>
        <w:t xml:space="preserve">grant </w:t>
      </w:r>
      <w:r w:rsidR="00AE348F" w:rsidRPr="00E00BD2">
        <w:rPr>
          <w:rFonts w:eastAsia="Times New Roman" w:cs="Times New Roman"/>
          <w:bCs/>
          <w:szCs w:val="24"/>
          <w:lang w:val="hr-HR" w:eastAsia="hr-HR"/>
        </w:rPr>
        <w:t>sre</w:t>
      </w:r>
      <w:r w:rsidR="00D90274" w:rsidRPr="00E00BD2">
        <w:rPr>
          <w:rFonts w:eastAsia="Times New Roman" w:cs="Times New Roman"/>
          <w:bCs/>
          <w:szCs w:val="24"/>
          <w:lang w:val="hr-HR" w:eastAsia="hr-HR"/>
        </w:rPr>
        <w:t>d</w:t>
      </w:r>
      <w:r w:rsidR="00AE348F" w:rsidRPr="00E00BD2">
        <w:rPr>
          <w:rFonts w:eastAsia="Times New Roman" w:cs="Times New Roman"/>
          <w:bCs/>
          <w:szCs w:val="24"/>
          <w:lang w:val="hr-HR" w:eastAsia="hr-HR"/>
        </w:rPr>
        <w:t>stava</w:t>
      </w:r>
      <w:r w:rsidR="00AE348F">
        <w:rPr>
          <w:rFonts w:eastAsia="Times New Roman" w:cs="Times New Roman"/>
          <w:bCs/>
          <w:szCs w:val="24"/>
          <w:lang w:val="hr-HR" w:eastAsia="hr-HR"/>
        </w:rPr>
        <w:t xml:space="preserve">. </w:t>
      </w:r>
    </w:p>
    <w:p w:rsidR="00E442C6" w:rsidRPr="00EE30C2" w:rsidRDefault="00461B7B" w:rsidP="00E442C6">
      <w:pPr>
        <w:jc w:val="both"/>
        <w:rPr>
          <w:rFonts w:eastAsia="Times New Roman" w:cs="Times New Roman"/>
          <w:bCs/>
          <w:szCs w:val="24"/>
          <w:lang w:val="hr-HR" w:eastAsia="hr-HR"/>
        </w:rPr>
      </w:pPr>
      <w:r w:rsidRPr="00EE30C2">
        <w:rPr>
          <w:rFonts w:eastAsia="Times New Roman" w:cs="Times New Roman"/>
          <w:bCs/>
          <w:szCs w:val="24"/>
          <w:lang w:val="hr-HR" w:eastAsia="hr-HR"/>
        </w:rPr>
        <w:t xml:space="preserve"> </w:t>
      </w:r>
    </w:p>
    <w:tbl>
      <w:tblPr>
        <w:tblStyle w:val="TableGrid11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FFC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70FB8" w:rsidRPr="00870FB8" w:rsidTr="005B1659">
        <w:trPr>
          <w:trHeight w:val="410"/>
        </w:trPr>
        <w:tc>
          <w:tcPr>
            <w:tcW w:w="9072" w:type="dxa"/>
            <w:vAlign w:val="center"/>
          </w:tcPr>
          <w:p w:rsidR="00870FB8" w:rsidRPr="00870FB8" w:rsidRDefault="00870FB8" w:rsidP="00870FB8">
            <w:pPr>
              <w:tabs>
                <w:tab w:val="left" w:pos="567"/>
              </w:tabs>
              <w:rPr>
                <w:b/>
                <w:noProof/>
                <w:sz w:val="24"/>
                <w:szCs w:val="24"/>
                <w:lang w:val="hr-HR"/>
              </w:rPr>
            </w:pPr>
            <w:r w:rsidRPr="00870FB8">
              <w:rPr>
                <w:b/>
                <w:noProof/>
                <w:sz w:val="24"/>
                <w:szCs w:val="24"/>
                <w:lang w:val="hr-HR"/>
              </w:rPr>
              <w:t>10. PROVOĐENJE PROGRAMA</w:t>
            </w:r>
          </w:p>
        </w:tc>
      </w:tr>
    </w:tbl>
    <w:p w:rsidR="00CE1389" w:rsidRDefault="00870FB8" w:rsidP="009D6DF4">
      <w:pPr>
        <w:spacing w:before="240"/>
        <w:jc w:val="both"/>
        <w:rPr>
          <w:rFonts w:eastAsia="MS Mincho"/>
          <w:lang w:eastAsia="ja-JP"/>
        </w:rPr>
      </w:pPr>
      <w:r w:rsidRPr="00870FB8">
        <w:rPr>
          <w:rFonts w:eastAsia="MS Mincho" w:cs="Arial"/>
          <w:szCs w:val="24"/>
          <w:lang w:eastAsia="ja-JP"/>
        </w:rPr>
        <w:t xml:space="preserve">Sredstva se dodjeljuju na osnovu raspisanog Javnog poziva. </w:t>
      </w:r>
      <w:r w:rsidR="0021627C">
        <w:rPr>
          <w:rFonts w:eastAsia="MS Mincho"/>
          <w:lang w:eastAsia="ja-JP"/>
        </w:rPr>
        <w:t xml:space="preserve">Javnim pozivom se definišu osnovne informacije o Programu: uslovi za učešće u Programu, namjena i iznos grant sredstava koja su na raspolaganju za dodjelu, potrebna dokumentacija koja se prilaže uz zahtjev za dodjelu sredstava, način prijavljivanja, </w:t>
      </w:r>
      <w:r w:rsidR="00333DA3">
        <w:rPr>
          <w:rFonts w:eastAsia="MS Mincho"/>
          <w:lang w:eastAsia="ja-JP"/>
        </w:rPr>
        <w:t xml:space="preserve">korisnici, </w:t>
      </w:r>
      <w:r w:rsidR="0021627C">
        <w:rPr>
          <w:rFonts w:eastAsia="MS Mincho"/>
          <w:lang w:eastAsia="ja-JP"/>
        </w:rPr>
        <w:t xml:space="preserve">rok i mjesto podnošenja prijava, uslovi </w:t>
      </w:r>
      <w:r w:rsidR="008C5412">
        <w:rPr>
          <w:rFonts w:eastAsia="MS Mincho"/>
          <w:lang w:eastAsia="ja-JP"/>
        </w:rPr>
        <w:t>za prijavu po Programu</w:t>
      </w:r>
      <w:r w:rsidR="0021627C">
        <w:rPr>
          <w:rFonts w:eastAsia="MS Mincho"/>
          <w:lang w:eastAsia="ja-JP"/>
        </w:rPr>
        <w:t>, postupak provođenja Programa</w:t>
      </w:r>
      <w:r w:rsidR="00763C4E">
        <w:rPr>
          <w:rFonts w:eastAsia="MS Mincho"/>
          <w:lang w:eastAsia="ja-JP"/>
        </w:rPr>
        <w:t xml:space="preserve"> i Javnog poziva</w:t>
      </w:r>
      <w:r w:rsidR="0021627C">
        <w:rPr>
          <w:rFonts w:eastAsia="MS Mincho"/>
          <w:lang w:eastAsia="ja-JP"/>
        </w:rPr>
        <w:t xml:space="preserve">, način prijavljivanja, kao i ostale relevantne informacije. </w:t>
      </w:r>
    </w:p>
    <w:p w:rsidR="00837C87" w:rsidRPr="00E00BD2" w:rsidRDefault="00837C87" w:rsidP="009D6DF4">
      <w:pPr>
        <w:spacing w:before="240"/>
        <w:jc w:val="both"/>
        <w:rPr>
          <w:rFonts w:eastAsia="MS Mincho"/>
          <w:lang w:eastAsia="ja-JP"/>
        </w:rPr>
      </w:pPr>
      <w:r w:rsidRPr="00E00BD2">
        <w:rPr>
          <w:rFonts w:eastAsia="MS Mincho"/>
          <w:lang w:eastAsia="ja-JP"/>
        </w:rPr>
        <w:t>Javi poziv ne može trajati duže od 30.11. tekuće fiskalne godine.</w:t>
      </w:r>
    </w:p>
    <w:p w:rsidR="00870FB8" w:rsidRPr="00870FB8" w:rsidRDefault="00870FB8" w:rsidP="009D6DF4">
      <w:pPr>
        <w:spacing w:before="240"/>
        <w:jc w:val="both"/>
        <w:rPr>
          <w:rFonts w:eastAsia="Calibri" w:cs="Arial"/>
          <w:szCs w:val="24"/>
        </w:rPr>
      </w:pPr>
      <w:r w:rsidRPr="00870FB8">
        <w:rPr>
          <w:rFonts w:eastAsia="Calibri" w:cs="Arial"/>
          <w:szCs w:val="24"/>
        </w:rPr>
        <w:t>Javnim pozivom, od potencijalnih korisnika sredstava, će biti zatražena sljedeća dokumentacija:</w:t>
      </w:r>
    </w:p>
    <w:p w:rsidR="00870FB8" w:rsidRPr="00870FB8" w:rsidRDefault="00870FB8" w:rsidP="008B53D6">
      <w:pPr>
        <w:numPr>
          <w:ilvl w:val="0"/>
          <w:numId w:val="12"/>
        </w:numPr>
        <w:spacing w:before="240"/>
        <w:jc w:val="both"/>
        <w:rPr>
          <w:rFonts w:eastAsia="Calibri" w:cs="Arial"/>
          <w:szCs w:val="24"/>
        </w:rPr>
      </w:pPr>
      <w:r w:rsidRPr="00870FB8">
        <w:rPr>
          <w:rFonts w:eastAsia="Calibri" w:cs="Arial"/>
          <w:szCs w:val="24"/>
        </w:rPr>
        <w:lastRenderedPageBreak/>
        <w:t>Zahtjev za dodjelu grant sredstava</w:t>
      </w:r>
      <w:r w:rsidR="00BC3F31">
        <w:rPr>
          <w:rFonts w:eastAsia="Calibri" w:cs="Arial"/>
          <w:szCs w:val="24"/>
        </w:rPr>
        <w:t xml:space="preserve"> (na web stranici Ministarstva </w:t>
      </w:r>
      <w:hyperlink r:id="rId9" w:history="1">
        <w:r w:rsidR="00BC3F31" w:rsidRPr="005B559A">
          <w:rPr>
            <w:rStyle w:val="Hyperlink"/>
            <w:rFonts w:eastAsia="Calibri" w:cs="Arial"/>
            <w:szCs w:val="24"/>
          </w:rPr>
          <w:t>www.fmeri.gov.ba</w:t>
        </w:r>
      </w:hyperlink>
      <w:r w:rsidR="00BC3F31">
        <w:rPr>
          <w:rFonts w:eastAsia="Calibri" w:cs="Arial"/>
          <w:szCs w:val="24"/>
        </w:rPr>
        <w:t xml:space="preserve"> </w:t>
      </w:r>
      <w:r w:rsidR="00BC3F31" w:rsidRPr="00BC3F31">
        <w:rPr>
          <w:rFonts w:eastAsia="Calibri" w:cs="Arial"/>
          <w:szCs w:val="24"/>
        </w:rPr>
        <w:t>)</w:t>
      </w:r>
      <w:r w:rsidRPr="00BC3F31">
        <w:rPr>
          <w:rFonts w:eastAsia="Calibri" w:cs="Arial"/>
          <w:szCs w:val="24"/>
        </w:rPr>
        <w:t>,</w:t>
      </w:r>
    </w:p>
    <w:p w:rsidR="00E00BD2" w:rsidRDefault="00870FB8" w:rsidP="005713C5">
      <w:pPr>
        <w:numPr>
          <w:ilvl w:val="0"/>
          <w:numId w:val="12"/>
        </w:numPr>
        <w:shd w:val="clear" w:color="auto" w:fill="FFFFFF"/>
        <w:jc w:val="both"/>
        <w:rPr>
          <w:rFonts w:eastAsia="Calibri" w:cs="Arial"/>
          <w:szCs w:val="24"/>
        </w:rPr>
      </w:pPr>
      <w:r w:rsidRPr="00E00BD2">
        <w:rPr>
          <w:rFonts w:eastAsia="Calibri" w:cs="Arial"/>
          <w:szCs w:val="24"/>
          <w:lang w:val="hr-HR"/>
        </w:rPr>
        <w:t>Spisak</w:t>
      </w:r>
      <w:r w:rsidRPr="00E00BD2">
        <w:rPr>
          <w:rFonts w:eastAsia="Calibri" w:cs="Arial"/>
          <w:szCs w:val="24"/>
        </w:rPr>
        <w:t xml:space="preserve"> </w:t>
      </w:r>
      <w:r w:rsidR="00923408" w:rsidRPr="00E00BD2">
        <w:rPr>
          <w:rFonts w:eastAsia="Calibri" w:cs="Arial"/>
          <w:szCs w:val="24"/>
        </w:rPr>
        <w:t>za</w:t>
      </w:r>
      <w:r w:rsidRPr="00E00BD2">
        <w:rPr>
          <w:rFonts w:eastAsia="Calibri" w:cs="Arial"/>
          <w:szCs w:val="24"/>
        </w:rPr>
        <w:t>poslenika</w:t>
      </w:r>
      <w:r w:rsidR="006206AD" w:rsidRPr="00E00BD2">
        <w:rPr>
          <w:rFonts w:eastAsia="Calibri" w:cs="Arial"/>
          <w:szCs w:val="24"/>
        </w:rPr>
        <w:t xml:space="preserve"> </w:t>
      </w:r>
      <w:r w:rsidR="00074F29" w:rsidRPr="00E00BD2">
        <w:rPr>
          <w:rFonts w:eastAsia="Calibri" w:cs="Arial"/>
          <w:szCs w:val="24"/>
        </w:rPr>
        <w:t xml:space="preserve">izdat od </w:t>
      </w:r>
      <w:r w:rsidR="004019D7" w:rsidRPr="00E00BD2">
        <w:rPr>
          <w:rFonts w:eastAsia="Calibri" w:cs="Arial"/>
          <w:szCs w:val="24"/>
        </w:rPr>
        <w:t>strane Federalnog zavoda PIO/MIO</w:t>
      </w:r>
      <w:r w:rsidR="00074F29" w:rsidRPr="00E00BD2">
        <w:rPr>
          <w:rFonts w:eastAsia="Calibri" w:cs="Arial"/>
          <w:szCs w:val="24"/>
        </w:rPr>
        <w:t>,</w:t>
      </w:r>
      <w:r w:rsidR="004019D7" w:rsidRPr="00E00BD2">
        <w:rPr>
          <w:rFonts w:eastAsia="Calibri" w:cs="Arial"/>
          <w:szCs w:val="24"/>
        </w:rPr>
        <w:t xml:space="preserve"> </w:t>
      </w:r>
      <w:r w:rsidR="006206AD" w:rsidRPr="00E00BD2">
        <w:rPr>
          <w:rFonts w:eastAsia="Calibri" w:cs="Arial"/>
          <w:szCs w:val="24"/>
        </w:rPr>
        <w:t>koji sadrži i lični i matični broj osiguranika</w:t>
      </w:r>
      <w:r w:rsidRPr="00E00BD2">
        <w:rPr>
          <w:rFonts w:eastAsia="Calibri" w:cs="Arial"/>
          <w:szCs w:val="24"/>
        </w:rPr>
        <w:t xml:space="preserve"> koji </w:t>
      </w:r>
      <w:r w:rsidR="00CE1389" w:rsidRPr="00E00BD2">
        <w:rPr>
          <w:rFonts w:eastAsia="Calibri" w:cs="Arial"/>
          <w:szCs w:val="24"/>
        </w:rPr>
        <w:t>će</w:t>
      </w:r>
      <w:r w:rsidR="00D32823" w:rsidRPr="00E00BD2">
        <w:rPr>
          <w:rFonts w:eastAsia="Calibri" w:cs="Arial"/>
          <w:szCs w:val="24"/>
        </w:rPr>
        <w:t>, po bilo kojem osnovu,</w:t>
      </w:r>
      <w:r w:rsidRPr="00E00BD2">
        <w:rPr>
          <w:rFonts w:eastAsia="Calibri" w:cs="Arial"/>
          <w:szCs w:val="24"/>
        </w:rPr>
        <w:t xml:space="preserve"> ostvari</w:t>
      </w:r>
      <w:r w:rsidR="00CE1389" w:rsidRPr="00E00BD2">
        <w:rPr>
          <w:rFonts w:eastAsia="Calibri" w:cs="Arial"/>
          <w:szCs w:val="24"/>
        </w:rPr>
        <w:t>ti</w:t>
      </w:r>
      <w:r w:rsidRPr="00E00BD2">
        <w:rPr>
          <w:rFonts w:eastAsia="Calibri" w:cs="Arial"/>
          <w:szCs w:val="24"/>
        </w:rPr>
        <w:t xml:space="preserve"> uslove za odlazak u penziju</w:t>
      </w:r>
      <w:r w:rsidR="00D73BFC" w:rsidRPr="00E00BD2">
        <w:rPr>
          <w:rFonts w:eastAsia="Calibri" w:cs="Arial"/>
          <w:szCs w:val="24"/>
        </w:rPr>
        <w:t xml:space="preserve"> do dana podnošenja zahtjeva za </w:t>
      </w:r>
      <w:r w:rsidR="0098020E" w:rsidRPr="00E00BD2">
        <w:rPr>
          <w:rFonts w:eastAsia="Calibri" w:cs="Arial"/>
          <w:szCs w:val="24"/>
        </w:rPr>
        <w:t>dodjelu</w:t>
      </w:r>
      <w:r w:rsidR="00D73BFC" w:rsidRPr="00E00BD2">
        <w:rPr>
          <w:rFonts w:eastAsia="Calibri" w:cs="Arial"/>
          <w:szCs w:val="24"/>
        </w:rPr>
        <w:t xml:space="preserve"> </w:t>
      </w:r>
      <w:r w:rsidR="005C1138" w:rsidRPr="00E00BD2">
        <w:rPr>
          <w:rFonts w:eastAsia="Calibri" w:cs="Arial"/>
          <w:szCs w:val="24"/>
        </w:rPr>
        <w:t>sredstava</w:t>
      </w:r>
      <w:r w:rsidR="00BA3FF7" w:rsidRPr="00E00BD2">
        <w:rPr>
          <w:rFonts w:eastAsia="Calibri" w:cs="Arial"/>
          <w:szCs w:val="24"/>
        </w:rPr>
        <w:t>,</w:t>
      </w:r>
      <w:r w:rsidR="00D36D9E" w:rsidRPr="00E00BD2">
        <w:rPr>
          <w:rFonts w:eastAsia="Calibri" w:cs="Arial"/>
          <w:szCs w:val="24"/>
        </w:rPr>
        <w:t xml:space="preserve"> </w:t>
      </w:r>
      <w:r w:rsidR="00837C87" w:rsidRPr="00E00BD2">
        <w:rPr>
          <w:rFonts w:eastAsia="Calibri" w:cs="Arial"/>
          <w:szCs w:val="24"/>
        </w:rPr>
        <w:t>sa datumom sticanja prava na penziju</w:t>
      </w:r>
      <w:r w:rsidR="00891C9E" w:rsidRPr="00E00BD2">
        <w:rPr>
          <w:rFonts w:eastAsia="Calibri" w:cs="Arial"/>
          <w:szCs w:val="24"/>
        </w:rPr>
        <w:t>, periodom za koji se vrši uplata duga</w:t>
      </w:r>
      <w:r w:rsidR="00837C87" w:rsidRPr="00E00BD2">
        <w:rPr>
          <w:rFonts w:eastAsia="Calibri" w:cs="Arial"/>
          <w:szCs w:val="24"/>
        </w:rPr>
        <w:t xml:space="preserve"> i iznosom duga samo po osnovu PIO/MIO </w:t>
      </w:r>
      <w:r w:rsidR="00D36D9E" w:rsidRPr="00E00BD2">
        <w:rPr>
          <w:rFonts w:eastAsia="Calibri" w:cs="Arial"/>
          <w:szCs w:val="24"/>
        </w:rPr>
        <w:t>i koji su podnijeli zahtjev Federalnom zavodu za PIO/MIO za penzionisanje</w:t>
      </w:r>
      <w:r w:rsidR="00E00BD2">
        <w:rPr>
          <w:rFonts w:eastAsia="Calibri" w:cs="Arial"/>
          <w:szCs w:val="24"/>
        </w:rPr>
        <w:t>.</w:t>
      </w:r>
    </w:p>
    <w:p w:rsidR="002D3F9A" w:rsidRPr="00E00BD2" w:rsidRDefault="002D3F9A" w:rsidP="00E00BD2">
      <w:pPr>
        <w:shd w:val="clear" w:color="auto" w:fill="FFFFFF"/>
        <w:ind w:left="720"/>
        <w:jc w:val="both"/>
        <w:rPr>
          <w:rFonts w:eastAsia="Calibri" w:cs="Arial"/>
          <w:szCs w:val="24"/>
        </w:rPr>
      </w:pPr>
      <w:r w:rsidRPr="00E00BD2">
        <w:rPr>
          <w:rFonts w:eastAsia="Calibri" w:cs="Arial"/>
          <w:szCs w:val="24"/>
        </w:rPr>
        <w:t>Napomena:</w:t>
      </w:r>
    </w:p>
    <w:p w:rsidR="00074F29" w:rsidRDefault="002D3F9A" w:rsidP="00035EE5">
      <w:pPr>
        <w:ind w:left="708" w:right="-7"/>
        <w:jc w:val="both"/>
        <w:rPr>
          <w:rFonts w:cs="Arial"/>
          <w:color w:val="FF0000"/>
        </w:rPr>
      </w:pPr>
      <w:r w:rsidRPr="00E00BD2">
        <w:rPr>
          <w:rFonts w:eastAsia="Calibri" w:cs="Arial"/>
          <w:szCs w:val="24"/>
        </w:rPr>
        <w:t xml:space="preserve">Za preduzeća u </w:t>
      </w:r>
      <w:r w:rsidRPr="00790EBF">
        <w:rPr>
          <w:rFonts w:eastAsia="Calibri" w:cs="Arial"/>
          <w:szCs w:val="24"/>
        </w:rPr>
        <w:t>procesu likvidacije treba</w:t>
      </w:r>
      <w:r w:rsidRPr="00E00BD2">
        <w:rPr>
          <w:rFonts w:eastAsia="Calibri" w:cs="Arial"/>
          <w:szCs w:val="24"/>
        </w:rPr>
        <w:t xml:space="preserve"> dostaviti spisak </w:t>
      </w:r>
      <w:r w:rsidR="00074F29" w:rsidRPr="00E00BD2">
        <w:rPr>
          <w:rFonts w:eastAsia="Calibri" w:cs="Arial"/>
          <w:szCs w:val="24"/>
        </w:rPr>
        <w:t xml:space="preserve">zaposlenika izdat od strane Federalnog zavoda PIO/MIO </w:t>
      </w:r>
      <w:r w:rsidRPr="00E00BD2">
        <w:rPr>
          <w:rFonts w:eastAsia="Calibri" w:cs="Arial"/>
          <w:szCs w:val="24"/>
        </w:rPr>
        <w:t>koji sadrži i lični i matični broj osiguranika koji će, po bilo kojem osnovu, ostvariti uslove za odlazak u penziju do dana podnošenja zahtjeva za dodjelu sredstava</w:t>
      </w:r>
      <w:r w:rsidR="009D1514">
        <w:rPr>
          <w:rFonts w:eastAsia="Calibri" w:cs="Arial"/>
          <w:szCs w:val="24"/>
        </w:rPr>
        <w:t>,</w:t>
      </w:r>
      <w:r w:rsidRPr="00E00BD2">
        <w:rPr>
          <w:rFonts w:eastAsia="Calibri" w:cs="Arial"/>
          <w:szCs w:val="24"/>
        </w:rPr>
        <w:t xml:space="preserve"> </w:t>
      </w:r>
      <w:r w:rsidR="00837C87" w:rsidRPr="00E00BD2">
        <w:rPr>
          <w:rFonts w:eastAsia="Calibri" w:cs="Arial"/>
          <w:szCs w:val="24"/>
        </w:rPr>
        <w:t>sa datumom sticanja prava na penziju</w:t>
      </w:r>
      <w:r w:rsidR="00083FF1" w:rsidRPr="00E00BD2">
        <w:rPr>
          <w:rFonts w:eastAsia="Calibri" w:cs="Arial"/>
          <w:szCs w:val="24"/>
        </w:rPr>
        <w:t>,</w:t>
      </w:r>
      <w:r w:rsidR="00837C87" w:rsidRPr="00E00BD2">
        <w:rPr>
          <w:rFonts w:eastAsia="Calibri" w:cs="Arial"/>
          <w:szCs w:val="24"/>
        </w:rPr>
        <w:t xml:space="preserve"> </w:t>
      </w:r>
      <w:r w:rsidR="00083FF1" w:rsidRPr="00E00BD2">
        <w:rPr>
          <w:rFonts w:eastAsia="Calibri" w:cs="Arial"/>
          <w:szCs w:val="24"/>
        </w:rPr>
        <w:t xml:space="preserve">periodom za koji se vrši uplata duga </w:t>
      </w:r>
      <w:r w:rsidR="00837C87" w:rsidRPr="00E00BD2">
        <w:rPr>
          <w:rFonts w:eastAsia="Calibri" w:cs="Arial"/>
          <w:szCs w:val="24"/>
        </w:rPr>
        <w:t>i iznosom duga po osnovu doprinosa za PIO/MIO</w:t>
      </w:r>
      <w:r w:rsidR="00110114" w:rsidRPr="00110114">
        <w:rPr>
          <w:rFonts w:eastAsia="Calibri" w:cs="Arial"/>
          <w:szCs w:val="24"/>
        </w:rPr>
        <w:t xml:space="preserve"> </w:t>
      </w:r>
      <w:r w:rsidR="00110114" w:rsidRPr="00E00BD2">
        <w:rPr>
          <w:rFonts w:eastAsia="Calibri" w:cs="Arial"/>
          <w:szCs w:val="24"/>
        </w:rPr>
        <w:t xml:space="preserve">i koji </w:t>
      </w:r>
      <w:r w:rsidR="00110114" w:rsidRPr="002D3F9A">
        <w:rPr>
          <w:rFonts w:eastAsia="Calibri" w:cs="Arial"/>
          <w:szCs w:val="24"/>
        </w:rPr>
        <w:t>su podnijeli zahtjev Federalnom zavodu za PIO/MIO za penzionisanje</w:t>
      </w:r>
      <w:r w:rsidR="00110114">
        <w:rPr>
          <w:rFonts w:eastAsia="Calibri" w:cs="Arial"/>
          <w:szCs w:val="24"/>
        </w:rPr>
        <w:t xml:space="preserve">. Takođe, potrebno je dostaviti podatke o dugovanjima za </w:t>
      </w:r>
      <w:r w:rsidR="00110114" w:rsidRPr="007166DB">
        <w:rPr>
          <w:rFonts w:eastAsia="Calibri" w:cs="Arial"/>
          <w:szCs w:val="24"/>
        </w:rPr>
        <w:t>zdravsteno osiguranje i osiguranje od nezaposlenosti</w:t>
      </w:r>
      <w:r w:rsidR="00837C87" w:rsidRPr="007166DB">
        <w:rPr>
          <w:rFonts w:eastAsia="Calibri" w:cs="Arial"/>
          <w:szCs w:val="24"/>
        </w:rPr>
        <w:t xml:space="preserve"> </w:t>
      </w:r>
      <w:r w:rsidR="00790EBF" w:rsidRPr="007166DB">
        <w:rPr>
          <w:rFonts w:eastAsia="Calibri" w:cs="Arial"/>
          <w:szCs w:val="24"/>
        </w:rPr>
        <w:t>od nadležne institucije.</w:t>
      </w:r>
    </w:p>
    <w:p w:rsidR="007D49B2" w:rsidRPr="00E00BD2" w:rsidRDefault="007D49B2" w:rsidP="00035EE5">
      <w:pPr>
        <w:ind w:left="708" w:right="-7"/>
        <w:jc w:val="both"/>
        <w:rPr>
          <w:rFonts w:cs="Arial"/>
        </w:rPr>
      </w:pPr>
      <w:r w:rsidRPr="00E00BD2">
        <w:rPr>
          <w:rFonts w:cs="Arial"/>
        </w:rPr>
        <w:t xml:space="preserve">Ukoliko u potvrdi Federalnog zavoda PIO/MIO bude navedeno da je potrebno za pojedine zaposlenike izvršiti dokup staža </w:t>
      </w:r>
      <w:r w:rsidR="00074F29" w:rsidRPr="00E00BD2">
        <w:rPr>
          <w:rFonts w:cs="Arial"/>
        </w:rPr>
        <w:t>od strane Federalnog zavoda za zapošljavanje  kako</w:t>
      </w:r>
      <w:r w:rsidRPr="00E00BD2">
        <w:rPr>
          <w:rFonts w:cs="Arial"/>
        </w:rPr>
        <w:t xml:space="preserve"> bi se ispunili uslovi za ostvarivanje prava za penzionisanje, to je uz ostalo potrebno </w:t>
      </w:r>
      <w:r w:rsidR="007005BD">
        <w:rPr>
          <w:rFonts w:cs="Arial"/>
        </w:rPr>
        <w:t>da k</w:t>
      </w:r>
      <w:r w:rsidRPr="00E00BD2">
        <w:rPr>
          <w:rFonts w:cs="Arial"/>
        </w:rPr>
        <w:t>orisnik sredstava Ministarstvu dostaviti i akt Federalnog zavoda za zapošljavanje kojim se potvrđuje da će za te zaposlenike, navodeći ime i prezime, Federalni zavod za zapošljavanje izvršiti dokup staža, kako bi isti mogli ostvariti pravo na penziju u skladu sa ovim Programom</w:t>
      </w:r>
      <w:r w:rsidR="00BA3FF7" w:rsidRPr="00E00BD2">
        <w:rPr>
          <w:rFonts w:cs="Arial"/>
        </w:rPr>
        <w:t xml:space="preserve"> i u skladu sa Zakonom o posredivanju u zapošljavanju i socijalnoj sigurnosti nezaposlenih osoba (“Službene novine Federacije BiH“, br. 41/01, 22/05 i 9/08)</w:t>
      </w:r>
    </w:p>
    <w:p w:rsidR="00870FB8" w:rsidRPr="00543418" w:rsidRDefault="00870FB8" w:rsidP="00AB0FD1">
      <w:pPr>
        <w:shd w:val="clear" w:color="auto" w:fill="FFFFFF"/>
        <w:jc w:val="both"/>
        <w:rPr>
          <w:rFonts w:eastAsia="Calibri" w:cs="Arial"/>
          <w:szCs w:val="24"/>
        </w:rPr>
      </w:pPr>
      <w:r w:rsidRPr="00543418">
        <w:rPr>
          <w:rFonts w:eastAsia="Calibri" w:cs="Arial"/>
          <w:szCs w:val="24"/>
        </w:rPr>
        <w:t xml:space="preserve"> </w:t>
      </w:r>
    </w:p>
    <w:p w:rsidR="00870FB8" w:rsidRPr="00870FB8" w:rsidRDefault="007005BD" w:rsidP="008B53D6">
      <w:pPr>
        <w:numPr>
          <w:ilvl w:val="0"/>
          <w:numId w:val="1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Aktuelni izvod iz </w:t>
      </w:r>
      <w:r w:rsidR="00870FB8" w:rsidRPr="00870FB8">
        <w:rPr>
          <w:rFonts w:cs="Arial"/>
          <w:szCs w:val="24"/>
        </w:rPr>
        <w:t xml:space="preserve"> sudskog registra (</w:t>
      </w:r>
      <w:r w:rsidR="007C24A6">
        <w:rPr>
          <w:rFonts w:cs="Arial"/>
          <w:szCs w:val="24"/>
        </w:rPr>
        <w:t>original ne stariji od 30 da</w:t>
      </w:r>
      <w:r w:rsidR="00870FB8" w:rsidRPr="00870FB8">
        <w:rPr>
          <w:rFonts w:cs="Arial"/>
          <w:szCs w:val="24"/>
        </w:rPr>
        <w:t>na),</w:t>
      </w:r>
    </w:p>
    <w:p w:rsidR="00870FB8" w:rsidRPr="00870FB8" w:rsidRDefault="00870FB8" w:rsidP="008B53D6">
      <w:pPr>
        <w:numPr>
          <w:ilvl w:val="0"/>
          <w:numId w:val="12"/>
        </w:numPr>
        <w:jc w:val="both"/>
        <w:rPr>
          <w:rFonts w:cs="Arial"/>
          <w:szCs w:val="24"/>
        </w:rPr>
      </w:pPr>
      <w:r w:rsidRPr="00870FB8">
        <w:rPr>
          <w:rFonts w:cs="Arial"/>
          <w:szCs w:val="24"/>
        </w:rPr>
        <w:t>Statut ili odluka/akt o osnivanju</w:t>
      </w:r>
      <w:r w:rsidR="00D74C5C">
        <w:rPr>
          <w:rFonts w:cs="Arial"/>
          <w:szCs w:val="24"/>
        </w:rPr>
        <w:t xml:space="preserve"> ( </w:t>
      </w:r>
      <w:r w:rsidR="00751B99">
        <w:rPr>
          <w:rFonts w:cs="Arial"/>
          <w:szCs w:val="24"/>
        </w:rPr>
        <w:t xml:space="preserve">kopija i </w:t>
      </w:r>
      <w:r w:rsidR="00D74C5C">
        <w:rPr>
          <w:rFonts w:cs="Arial"/>
          <w:szCs w:val="24"/>
        </w:rPr>
        <w:t>ne mora biti ovjereno)</w:t>
      </w:r>
      <w:r w:rsidRPr="00870FB8">
        <w:rPr>
          <w:rFonts w:cs="Arial"/>
          <w:szCs w:val="24"/>
        </w:rPr>
        <w:t>,</w:t>
      </w:r>
    </w:p>
    <w:p w:rsidR="00870FB8" w:rsidRPr="00870FB8" w:rsidRDefault="00870FB8" w:rsidP="008B53D6">
      <w:pPr>
        <w:numPr>
          <w:ilvl w:val="0"/>
          <w:numId w:val="12"/>
        </w:numPr>
        <w:jc w:val="both"/>
        <w:rPr>
          <w:rFonts w:cs="Arial"/>
          <w:szCs w:val="24"/>
        </w:rPr>
      </w:pPr>
      <w:r w:rsidRPr="00870FB8">
        <w:rPr>
          <w:rFonts w:cs="Arial"/>
          <w:szCs w:val="24"/>
        </w:rPr>
        <w:t>Uvjerenje o poreznoj registraciji kod Porezne uprave – ID broj,</w:t>
      </w:r>
    </w:p>
    <w:p w:rsidR="00870FB8" w:rsidRPr="00870FB8" w:rsidRDefault="00870FB8" w:rsidP="008B53D6">
      <w:pPr>
        <w:numPr>
          <w:ilvl w:val="0"/>
          <w:numId w:val="12"/>
        </w:numPr>
        <w:jc w:val="both"/>
        <w:rPr>
          <w:rFonts w:cs="Arial"/>
          <w:szCs w:val="24"/>
        </w:rPr>
      </w:pPr>
      <w:r w:rsidRPr="00870FB8">
        <w:rPr>
          <w:rFonts w:cs="Arial"/>
          <w:szCs w:val="24"/>
        </w:rPr>
        <w:t xml:space="preserve">Uvjerenje o registraciji obveznika poreza na dodanu vrijednost – PDV broj, </w:t>
      </w:r>
    </w:p>
    <w:p w:rsidR="00870FB8" w:rsidRPr="00870FB8" w:rsidRDefault="00624F89" w:rsidP="008B53D6">
      <w:pPr>
        <w:numPr>
          <w:ilvl w:val="0"/>
          <w:numId w:val="12"/>
        </w:numPr>
        <w:jc w:val="both"/>
        <w:rPr>
          <w:rFonts w:cs="Arial"/>
          <w:szCs w:val="24"/>
        </w:rPr>
      </w:pPr>
      <w:r w:rsidRPr="00285372">
        <w:rPr>
          <w:bCs/>
        </w:rPr>
        <w:t xml:space="preserve">Obavještenje nadležnog zavoda za statistiku o razvrstavanju prema </w:t>
      </w:r>
      <w:r>
        <w:rPr>
          <w:bCs/>
        </w:rPr>
        <w:t xml:space="preserve">glavnoj šifri </w:t>
      </w:r>
      <w:r w:rsidRPr="00285372">
        <w:rPr>
          <w:bCs/>
        </w:rPr>
        <w:t>djelatnosti</w:t>
      </w:r>
      <w:r>
        <w:rPr>
          <w:bCs/>
        </w:rPr>
        <w:t xml:space="preserve"> po KD BiH 2010</w:t>
      </w:r>
      <w:r w:rsidR="00870FB8" w:rsidRPr="00870FB8">
        <w:rPr>
          <w:rFonts w:cs="Arial"/>
          <w:szCs w:val="24"/>
        </w:rPr>
        <w:t>,</w:t>
      </w:r>
    </w:p>
    <w:p w:rsidR="00870FB8" w:rsidRDefault="00870FB8" w:rsidP="008B53D6">
      <w:pPr>
        <w:numPr>
          <w:ilvl w:val="0"/>
          <w:numId w:val="12"/>
        </w:numPr>
        <w:jc w:val="both"/>
        <w:rPr>
          <w:rFonts w:cs="Arial"/>
          <w:szCs w:val="24"/>
        </w:rPr>
      </w:pPr>
      <w:r w:rsidRPr="00870FB8">
        <w:rPr>
          <w:rFonts w:cs="Arial"/>
          <w:szCs w:val="24"/>
        </w:rPr>
        <w:t>Ličn</w:t>
      </w:r>
      <w:r w:rsidR="003B1195">
        <w:rPr>
          <w:rFonts w:cs="Arial"/>
          <w:szCs w:val="24"/>
        </w:rPr>
        <w:t>a</w:t>
      </w:r>
      <w:r w:rsidRPr="00870FB8">
        <w:rPr>
          <w:rFonts w:cs="Arial"/>
          <w:szCs w:val="24"/>
        </w:rPr>
        <w:t xml:space="preserve"> kart</w:t>
      </w:r>
      <w:r w:rsidR="003B1195">
        <w:rPr>
          <w:rFonts w:cs="Arial"/>
          <w:szCs w:val="24"/>
        </w:rPr>
        <w:t>a</w:t>
      </w:r>
      <w:r w:rsidRPr="00870FB8">
        <w:rPr>
          <w:rFonts w:cs="Arial"/>
          <w:szCs w:val="24"/>
        </w:rPr>
        <w:t xml:space="preserve"> i CIPS potvrd</w:t>
      </w:r>
      <w:r w:rsidR="003B1195">
        <w:rPr>
          <w:rFonts w:cs="Arial"/>
          <w:szCs w:val="24"/>
        </w:rPr>
        <w:t>a</w:t>
      </w:r>
      <w:r w:rsidRPr="00870FB8">
        <w:rPr>
          <w:rFonts w:cs="Arial"/>
          <w:szCs w:val="24"/>
        </w:rPr>
        <w:t xml:space="preserve"> o prebivalištu lica ovlašten</w:t>
      </w:r>
      <w:r w:rsidR="003B1195">
        <w:rPr>
          <w:rFonts w:cs="Arial"/>
          <w:szCs w:val="24"/>
        </w:rPr>
        <w:t>og</w:t>
      </w:r>
      <w:r w:rsidRPr="00870FB8">
        <w:rPr>
          <w:rFonts w:cs="Arial"/>
          <w:szCs w:val="24"/>
        </w:rPr>
        <w:t xml:space="preserve"> za zastupanje,</w:t>
      </w:r>
    </w:p>
    <w:p w:rsidR="00F515B9" w:rsidRPr="00787E21" w:rsidRDefault="00BC3F31" w:rsidP="008B53D6">
      <w:pPr>
        <w:numPr>
          <w:ilvl w:val="0"/>
          <w:numId w:val="12"/>
        </w:numPr>
        <w:jc w:val="both"/>
        <w:rPr>
          <w:rFonts w:cs="Arial"/>
          <w:szCs w:val="24"/>
        </w:rPr>
      </w:pPr>
      <w:r w:rsidRPr="00C12E75">
        <w:rPr>
          <w:rFonts w:cs="Arial"/>
          <w:szCs w:val="24"/>
        </w:rPr>
        <w:t>Izjavu, o</w:t>
      </w:r>
      <w:r w:rsidR="00F515B9" w:rsidRPr="00C12E75">
        <w:rPr>
          <w:rFonts w:cs="Arial"/>
          <w:szCs w:val="24"/>
        </w:rPr>
        <w:t xml:space="preserve">vjerenu i potpisanu od strane odgovornog lica preduzeća,  </w:t>
      </w:r>
      <w:r w:rsidR="008B53D6" w:rsidRPr="00C12E75">
        <w:rPr>
          <w:rFonts w:cs="Arial"/>
          <w:szCs w:val="24"/>
        </w:rPr>
        <w:t>koja se može preuzeti na web stranici Ministarstva (</w:t>
      </w:r>
      <w:r w:rsidR="002A09B8" w:rsidRPr="00C12E75">
        <w:rPr>
          <w:rFonts w:cs="Arial"/>
          <w:szCs w:val="24"/>
        </w:rPr>
        <w:t xml:space="preserve"> </w:t>
      </w:r>
      <w:hyperlink r:id="rId10" w:history="1">
        <w:r w:rsidR="008B53D6" w:rsidRPr="00C12E75">
          <w:rPr>
            <w:rStyle w:val="Hyperlink"/>
            <w:rFonts w:eastAsia="Calibri" w:cs="Arial"/>
            <w:szCs w:val="24"/>
          </w:rPr>
          <w:t>www.fmeri.gov.ba</w:t>
        </w:r>
      </w:hyperlink>
      <w:r w:rsidR="002A09B8" w:rsidRPr="00C12E75">
        <w:rPr>
          <w:rStyle w:val="Hyperlink"/>
          <w:rFonts w:eastAsia="Calibri" w:cs="Arial"/>
          <w:szCs w:val="24"/>
        </w:rPr>
        <w:t xml:space="preserve"> </w:t>
      </w:r>
      <w:r w:rsidR="008B53D6" w:rsidRPr="00C12E75">
        <w:rPr>
          <w:rStyle w:val="Hyperlink"/>
          <w:rFonts w:eastAsia="Calibri" w:cs="Arial"/>
          <w:color w:val="auto"/>
          <w:szCs w:val="24"/>
          <w:u w:val="none"/>
        </w:rPr>
        <w:t>)</w:t>
      </w:r>
      <w:r w:rsidR="000B2C7B" w:rsidRPr="00C12E75">
        <w:rPr>
          <w:rStyle w:val="Hyperlink"/>
          <w:rFonts w:eastAsia="Calibri" w:cs="Arial"/>
          <w:color w:val="auto"/>
          <w:szCs w:val="24"/>
          <w:u w:val="none"/>
        </w:rPr>
        <w:t xml:space="preserve"> i</w:t>
      </w:r>
      <w:r w:rsidR="000B2C7B" w:rsidRPr="00C12E75">
        <w:t xml:space="preserve"> </w:t>
      </w:r>
      <w:r w:rsidR="00F515B9" w:rsidRPr="00C12E75">
        <w:rPr>
          <w:rFonts w:cs="Arial"/>
          <w:szCs w:val="24"/>
        </w:rPr>
        <w:t xml:space="preserve">kojom se </w:t>
      </w:r>
      <w:r w:rsidR="00B3643E" w:rsidRPr="00C12E75">
        <w:rPr>
          <w:rFonts w:cs="Arial"/>
          <w:szCs w:val="24"/>
        </w:rPr>
        <w:t>odgovorno lice</w:t>
      </w:r>
      <w:r w:rsidR="00F515B9" w:rsidRPr="00C12E75">
        <w:rPr>
          <w:rFonts w:cs="Arial"/>
          <w:szCs w:val="24"/>
        </w:rPr>
        <w:t xml:space="preserve"> obavezuje da će po odobrenju grant sredstava</w:t>
      </w:r>
      <w:r w:rsidR="00C07616" w:rsidRPr="00C12E75">
        <w:rPr>
          <w:rFonts w:cs="Arial"/>
          <w:szCs w:val="24"/>
        </w:rPr>
        <w:t xml:space="preserve">, </w:t>
      </w:r>
      <w:r w:rsidR="00F515B9" w:rsidRPr="00C12E75">
        <w:rPr>
          <w:rFonts w:cs="Arial"/>
          <w:szCs w:val="24"/>
        </w:rPr>
        <w:t>izvršiti uplatu</w:t>
      </w:r>
      <w:r w:rsidR="008B53D6" w:rsidRPr="00C12E75">
        <w:rPr>
          <w:rFonts w:cs="Arial"/>
          <w:szCs w:val="24"/>
        </w:rPr>
        <w:t xml:space="preserve"> </w:t>
      </w:r>
      <w:r w:rsidR="00F515B9" w:rsidRPr="00C12E75">
        <w:rPr>
          <w:rFonts w:cs="Arial"/>
          <w:szCs w:val="24"/>
        </w:rPr>
        <w:t xml:space="preserve">sredstava </w:t>
      </w:r>
      <w:r w:rsidR="00D74C5C" w:rsidRPr="00C12E75">
        <w:rPr>
          <w:rFonts w:cs="Arial"/>
          <w:szCs w:val="24"/>
        </w:rPr>
        <w:t>po</w:t>
      </w:r>
      <w:r w:rsidR="00F515B9" w:rsidRPr="00C12E75">
        <w:rPr>
          <w:rFonts w:cs="Arial"/>
          <w:szCs w:val="24"/>
        </w:rPr>
        <w:t xml:space="preserve"> osnovu </w:t>
      </w:r>
      <w:r w:rsidR="00D74C5C" w:rsidRPr="00C12E75">
        <w:rPr>
          <w:rFonts w:cs="Arial"/>
          <w:szCs w:val="24"/>
        </w:rPr>
        <w:t>duga za ostale</w:t>
      </w:r>
      <w:r w:rsidR="00F515B9" w:rsidRPr="00C12E75">
        <w:rPr>
          <w:rFonts w:cs="Arial"/>
          <w:szCs w:val="24"/>
        </w:rPr>
        <w:t xml:space="preserve"> doprinos</w:t>
      </w:r>
      <w:r w:rsidR="00D74C5C" w:rsidRPr="00C12E75">
        <w:rPr>
          <w:rFonts w:cs="Arial"/>
          <w:szCs w:val="24"/>
        </w:rPr>
        <w:t>e</w:t>
      </w:r>
      <w:r w:rsidR="00F515B9" w:rsidRPr="00C12E75">
        <w:rPr>
          <w:rFonts w:cs="Arial"/>
          <w:szCs w:val="24"/>
        </w:rPr>
        <w:t xml:space="preserve"> i to za zaposlenike za koje se traže grant </w:t>
      </w:r>
      <w:r w:rsidR="00F515B9" w:rsidRPr="00787E21">
        <w:rPr>
          <w:rFonts w:cs="Arial"/>
          <w:szCs w:val="24"/>
        </w:rPr>
        <w:t>sredstva</w:t>
      </w:r>
      <w:r w:rsidR="00211201" w:rsidRPr="00787E21">
        <w:rPr>
          <w:rFonts w:cs="Arial"/>
          <w:szCs w:val="24"/>
        </w:rPr>
        <w:t xml:space="preserve"> (ne odnosi se na preduzeća u </w:t>
      </w:r>
      <w:r w:rsidR="00006168" w:rsidRPr="00787E21">
        <w:rPr>
          <w:rFonts w:cs="Arial"/>
          <w:szCs w:val="24"/>
        </w:rPr>
        <w:t>procesu</w:t>
      </w:r>
      <w:r w:rsidR="00211201" w:rsidRPr="00787E21">
        <w:rPr>
          <w:rFonts w:cs="Arial"/>
          <w:szCs w:val="24"/>
        </w:rPr>
        <w:t xml:space="preserve"> likvidacije)</w:t>
      </w:r>
      <w:r w:rsidR="00BB1EA0" w:rsidRPr="00787E21">
        <w:rPr>
          <w:rFonts w:cs="Arial"/>
          <w:szCs w:val="24"/>
        </w:rPr>
        <w:t>,</w:t>
      </w:r>
    </w:p>
    <w:p w:rsidR="00870FB8" w:rsidRPr="001D5279" w:rsidRDefault="00870FB8" w:rsidP="008B53D6">
      <w:pPr>
        <w:numPr>
          <w:ilvl w:val="0"/>
          <w:numId w:val="12"/>
        </w:numPr>
        <w:jc w:val="both"/>
        <w:rPr>
          <w:rFonts w:cs="Arial"/>
          <w:szCs w:val="24"/>
        </w:rPr>
      </w:pPr>
      <w:r w:rsidRPr="00870FB8">
        <w:rPr>
          <w:rFonts w:cs="Arial"/>
          <w:szCs w:val="24"/>
        </w:rPr>
        <w:t xml:space="preserve">Spisak zaposlenika iz matične evidencije aktivnih osiguranika, izdat od strane nadležne </w:t>
      </w:r>
      <w:r w:rsidR="00D30DD9" w:rsidRPr="00D30DD9">
        <w:rPr>
          <w:rFonts w:cs="Arial"/>
          <w:szCs w:val="24"/>
        </w:rPr>
        <w:t xml:space="preserve">Porezne uprave </w:t>
      </w:r>
      <w:r w:rsidRPr="00870FB8">
        <w:rPr>
          <w:rFonts w:cs="Arial"/>
          <w:szCs w:val="24"/>
        </w:rPr>
        <w:t xml:space="preserve">ne stariji od 30 dana od dana podnošenja zahtjeva </w:t>
      </w:r>
      <w:r w:rsidRPr="00543418">
        <w:rPr>
          <w:rFonts w:cs="Arial"/>
          <w:szCs w:val="24"/>
        </w:rPr>
        <w:t xml:space="preserve">(min. </w:t>
      </w:r>
      <w:r w:rsidR="005C1138" w:rsidRPr="00543418">
        <w:rPr>
          <w:rFonts w:cs="Arial"/>
          <w:szCs w:val="24"/>
        </w:rPr>
        <w:t>5</w:t>
      </w:r>
      <w:r w:rsidRPr="00543418">
        <w:rPr>
          <w:rFonts w:cs="Arial"/>
          <w:szCs w:val="24"/>
        </w:rPr>
        <w:t xml:space="preserve"> zaposlenika),</w:t>
      </w:r>
      <w:r w:rsidR="00337730" w:rsidRPr="00543418">
        <w:rPr>
          <w:rFonts w:cs="Arial"/>
          <w:szCs w:val="24"/>
        </w:rPr>
        <w:t>osim</w:t>
      </w:r>
      <w:r w:rsidR="00337730" w:rsidRPr="001D5279">
        <w:rPr>
          <w:rFonts w:cs="Arial"/>
          <w:szCs w:val="24"/>
        </w:rPr>
        <w:t xml:space="preserve"> za preduzeća u stečaju</w:t>
      </w:r>
      <w:r w:rsidR="00751B99">
        <w:rPr>
          <w:rFonts w:cs="Arial"/>
          <w:szCs w:val="24"/>
        </w:rPr>
        <w:t xml:space="preserve"> i u procesu likvidacije</w:t>
      </w:r>
      <w:r w:rsidR="00645549" w:rsidRPr="001D5279">
        <w:rPr>
          <w:rFonts w:cs="Arial"/>
          <w:szCs w:val="24"/>
        </w:rPr>
        <w:t>.</w:t>
      </w:r>
    </w:p>
    <w:p w:rsidR="00870FB8" w:rsidRPr="00537450" w:rsidRDefault="00870FB8" w:rsidP="00870FB8">
      <w:pPr>
        <w:ind w:left="720"/>
        <w:jc w:val="both"/>
        <w:rPr>
          <w:rFonts w:cs="Arial"/>
          <w:sz w:val="16"/>
          <w:szCs w:val="16"/>
        </w:rPr>
      </w:pPr>
    </w:p>
    <w:p w:rsidR="0021627C" w:rsidRPr="0021627C" w:rsidRDefault="00870FB8" w:rsidP="002827D1">
      <w:pPr>
        <w:jc w:val="both"/>
        <w:rPr>
          <w:rFonts w:eastAsia="Calibri" w:cs="Arial"/>
          <w:szCs w:val="24"/>
        </w:rPr>
      </w:pPr>
      <w:r w:rsidRPr="00870FB8">
        <w:rPr>
          <w:rFonts w:cs="Arial"/>
          <w:szCs w:val="24"/>
        </w:rPr>
        <w:t xml:space="preserve">Svi traženi dokumenti trebaju biti originali ili ovjerene kopije </w:t>
      </w:r>
      <w:r w:rsidR="000D13EA">
        <w:rPr>
          <w:rFonts w:cs="Arial"/>
          <w:szCs w:val="24"/>
        </w:rPr>
        <w:t xml:space="preserve">(ovjera </w:t>
      </w:r>
      <w:r w:rsidRPr="00870FB8">
        <w:rPr>
          <w:rFonts w:cs="Arial"/>
          <w:szCs w:val="24"/>
        </w:rPr>
        <w:t>ne starij</w:t>
      </w:r>
      <w:r w:rsidR="000D13EA">
        <w:rPr>
          <w:rFonts w:cs="Arial"/>
          <w:szCs w:val="24"/>
        </w:rPr>
        <w:t>a</w:t>
      </w:r>
      <w:r w:rsidRPr="00870FB8">
        <w:rPr>
          <w:rFonts w:cs="Arial"/>
          <w:szCs w:val="24"/>
        </w:rPr>
        <w:t xml:space="preserve"> od 30 dana od dana podnošenja zahtjeva za dodjelu grant sredstava</w:t>
      </w:r>
      <w:r w:rsidR="000D13EA">
        <w:rPr>
          <w:rFonts w:cs="Arial"/>
          <w:szCs w:val="24"/>
        </w:rPr>
        <w:t>)</w:t>
      </w:r>
      <w:r w:rsidR="0021627C">
        <w:rPr>
          <w:rFonts w:cs="Arial"/>
          <w:szCs w:val="24"/>
        </w:rPr>
        <w:t xml:space="preserve"> </w:t>
      </w:r>
      <w:r w:rsidR="0021627C" w:rsidRPr="0021627C">
        <w:rPr>
          <w:rFonts w:eastAsia="Calibri" w:cs="Arial"/>
          <w:szCs w:val="24"/>
        </w:rPr>
        <w:t>osim dokumenata za koje je izričito navedeno u kojoj formi se dostavljaju.</w:t>
      </w:r>
    </w:p>
    <w:p w:rsidR="00870FB8" w:rsidRPr="00F9629E" w:rsidRDefault="0021627C" w:rsidP="002827D1">
      <w:pPr>
        <w:jc w:val="both"/>
        <w:rPr>
          <w:rFonts w:cs="Arial"/>
          <w:strike/>
          <w:noProof/>
          <w:color w:val="FF0000"/>
          <w:szCs w:val="24"/>
        </w:rPr>
      </w:pPr>
      <w:r>
        <w:rPr>
          <w:rFonts w:cs="Arial"/>
          <w:color w:val="000000"/>
          <w:szCs w:val="24"/>
        </w:rPr>
        <w:t>Z</w:t>
      </w:r>
      <w:r w:rsidR="00870FB8" w:rsidRPr="00870FB8">
        <w:rPr>
          <w:rFonts w:cs="Arial"/>
          <w:color w:val="000000"/>
          <w:szCs w:val="24"/>
        </w:rPr>
        <w:t xml:space="preserve">ahtjev za dodjelu sredstava sa potrebnom dokumentacijom po Javnom </w:t>
      </w:r>
      <w:r w:rsidR="00870FB8" w:rsidRPr="00870FB8">
        <w:rPr>
          <w:rFonts w:cs="Arial"/>
          <w:szCs w:val="24"/>
        </w:rPr>
        <w:t>pozivu</w:t>
      </w:r>
      <w:r w:rsidR="00870FB8" w:rsidRPr="00870FB8">
        <w:rPr>
          <w:rFonts w:cs="Arial"/>
          <w:color w:val="000000"/>
          <w:szCs w:val="24"/>
        </w:rPr>
        <w:t>,  poredan</w:t>
      </w:r>
      <w:r w:rsidR="00600ACC">
        <w:rPr>
          <w:rFonts w:cs="Arial"/>
          <w:color w:val="000000"/>
          <w:szCs w:val="24"/>
        </w:rPr>
        <w:t>om</w:t>
      </w:r>
      <w:r w:rsidR="00870FB8" w:rsidRPr="00870FB8">
        <w:rPr>
          <w:rFonts w:cs="Arial"/>
          <w:color w:val="000000"/>
          <w:szCs w:val="24"/>
        </w:rPr>
        <w:t xml:space="preserve"> po tačkama Javnog </w:t>
      </w:r>
      <w:r w:rsidR="00870FB8" w:rsidRPr="00870FB8">
        <w:rPr>
          <w:rFonts w:cs="Arial"/>
          <w:szCs w:val="24"/>
        </w:rPr>
        <w:t>poziva</w:t>
      </w:r>
      <w:r w:rsidR="00870FB8" w:rsidRPr="00870FB8">
        <w:rPr>
          <w:rFonts w:cs="Arial"/>
          <w:color w:val="000000"/>
          <w:szCs w:val="24"/>
        </w:rPr>
        <w:t>, podnosi se Ministarstvu</w:t>
      </w:r>
      <w:r w:rsidR="000D13EA">
        <w:rPr>
          <w:rFonts w:cs="Arial"/>
          <w:color w:val="000000"/>
          <w:szCs w:val="24"/>
        </w:rPr>
        <w:t>.</w:t>
      </w:r>
    </w:p>
    <w:p w:rsidR="00870FB8" w:rsidRPr="00F9629E" w:rsidRDefault="00870FB8" w:rsidP="002827D1">
      <w:pPr>
        <w:autoSpaceDE w:val="0"/>
        <w:autoSpaceDN w:val="0"/>
        <w:adjustRightInd w:val="0"/>
        <w:jc w:val="both"/>
        <w:rPr>
          <w:rFonts w:cs="Arial"/>
          <w:noProof/>
          <w:color w:val="FF0000"/>
          <w:szCs w:val="24"/>
        </w:rPr>
      </w:pPr>
      <w:r w:rsidRPr="00870FB8">
        <w:rPr>
          <w:rFonts w:cs="Arial"/>
          <w:noProof/>
          <w:szCs w:val="24"/>
        </w:rPr>
        <w:t xml:space="preserve">Javni </w:t>
      </w:r>
      <w:r w:rsidRPr="00870FB8">
        <w:rPr>
          <w:rFonts w:cs="Arial"/>
          <w:szCs w:val="24"/>
        </w:rPr>
        <w:t>poziv</w:t>
      </w:r>
      <w:r w:rsidRPr="00870FB8">
        <w:rPr>
          <w:rFonts w:cs="Arial"/>
          <w:noProof/>
          <w:szCs w:val="24"/>
        </w:rPr>
        <w:t xml:space="preserve"> po ovom Programu biti će raspisan nakon </w:t>
      </w:r>
      <w:r w:rsidR="00B47A55">
        <w:rPr>
          <w:rFonts w:cs="Arial"/>
          <w:noProof/>
          <w:szCs w:val="24"/>
        </w:rPr>
        <w:t xml:space="preserve">što Vlada Federacije Bosne i </w:t>
      </w:r>
      <w:r w:rsidR="00B47A55" w:rsidRPr="00543418">
        <w:rPr>
          <w:rFonts w:cs="Arial"/>
          <w:noProof/>
          <w:szCs w:val="24"/>
        </w:rPr>
        <w:t>Hercegovine usvoji</w:t>
      </w:r>
      <w:r w:rsidRPr="00543418">
        <w:rPr>
          <w:rFonts w:cs="Arial"/>
          <w:noProof/>
          <w:szCs w:val="24"/>
        </w:rPr>
        <w:t xml:space="preserve"> Program</w:t>
      </w:r>
      <w:r w:rsidR="00186595">
        <w:rPr>
          <w:rFonts w:cs="Arial"/>
          <w:noProof/>
          <w:szCs w:val="24"/>
        </w:rPr>
        <w:t>.</w:t>
      </w:r>
    </w:p>
    <w:p w:rsidR="001A6395" w:rsidRPr="00870FB8" w:rsidRDefault="001A6395" w:rsidP="002827D1">
      <w:pPr>
        <w:autoSpaceDE w:val="0"/>
        <w:autoSpaceDN w:val="0"/>
        <w:adjustRightInd w:val="0"/>
        <w:jc w:val="both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lastRenderedPageBreak/>
        <w:t xml:space="preserve">Ukoliko sredstva ne budu utrošena po </w:t>
      </w:r>
      <w:r w:rsidR="006206AD">
        <w:rPr>
          <w:rFonts w:cs="Arial"/>
          <w:noProof/>
          <w:szCs w:val="24"/>
        </w:rPr>
        <w:t xml:space="preserve">prvom </w:t>
      </w:r>
      <w:r>
        <w:rPr>
          <w:rFonts w:cs="Arial"/>
          <w:noProof/>
          <w:szCs w:val="24"/>
        </w:rPr>
        <w:t xml:space="preserve">raspisanom Javnom pozivu, </w:t>
      </w:r>
      <w:r w:rsidR="00B47A55">
        <w:rPr>
          <w:rFonts w:cs="Arial"/>
          <w:noProof/>
          <w:szCs w:val="24"/>
        </w:rPr>
        <w:t>Ministarstvo</w:t>
      </w:r>
      <w:r>
        <w:rPr>
          <w:rFonts w:cs="Arial"/>
          <w:noProof/>
          <w:szCs w:val="24"/>
        </w:rPr>
        <w:t xml:space="preserve"> </w:t>
      </w:r>
      <w:r w:rsidR="00B47A55">
        <w:rPr>
          <w:rFonts w:cs="Arial"/>
          <w:noProof/>
          <w:szCs w:val="24"/>
        </w:rPr>
        <w:t>može</w:t>
      </w:r>
      <w:r>
        <w:rPr>
          <w:rFonts w:cs="Arial"/>
          <w:noProof/>
          <w:szCs w:val="24"/>
        </w:rPr>
        <w:t xml:space="preserve"> raspisati </w:t>
      </w:r>
      <w:r w:rsidR="00B47A55">
        <w:rPr>
          <w:rFonts w:cs="Arial"/>
          <w:noProof/>
          <w:szCs w:val="24"/>
        </w:rPr>
        <w:t xml:space="preserve">novi </w:t>
      </w:r>
      <w:r>
        <w:rPr>
          <w:rFonts w:cs="Arial"/>
          <w:noProof/>
          <w:szCs w:val="24"/>
        </w:rPr>
        <w:t>Javni poziv</w:t>
      </w:r>
      <w:r w:rsidR="006206AD">
        <w:rPr>
          <w:rFonts w:cs="Arial"/>
          <w:noProof/>
          <w:szCs w:val="24"/>
        </w:rPr>
        <w:t xml:space="preserve">, do utroška </w:t>
      </w:r>
      <w:r w:rsidR="00B47A55">
        <w:rPr>
          <w:rFonts w:cs="Arial"/>
          <w:noProof/>
          <w:szCs w:val="24"/>
        </w:rPr>
        <w:t>sredstava</w:t>
      </w:r>
      <w:r>
        <w:rPr>
          <w:rFonts w:cs="Arial"/>
          <w:noProof/>
          <w:szCs w:val="24"/>
        </w:rPr>
        <w:t>.</w:t>
      </w:r>
    </w:p>
    <w:p w:rsidR="00035EE5" w:rsidRDefault="00D35805" w:rsidP="00035EE5">
      <w:pPr>
        <w:ind w:right="-51"/>
        <w:jc w:val="both"/>
        <w:rPr>
          <w:rFonts w:eastAsia="Calibri" w:cs="Arial"/>
          <w:noProof/>
          <w:szCs w:val="24"/>
          <w:lang w:val="hr-HR"/>
        </w:rPr>
      </w:pPr>
      <w:r w:rsidRPr="001C3F5A">
        <w:rPr>
          <w:rFonts w:eastAsia="Calibri" w:cs="Arial"/>
          <w:noProof/>
          <w:szCs w:val="24"/>
        </w:rPr>
        <w:t xml:space="preserve">Nakon </w:t>
      </w:r>
      <w:r w:rsidR="00C12E75" w:rsidRPr="001C3F5A">
        <w:rPr>
          <w:rFonts w:eastAsia="Calibri" w:cs="Arial"/>
          <w:noProof/>
          <w:szCs w:val="24"/>
        </w:rPr>
        <w:t>uvida u</w:t>
      </w:r>
      <w:r w:rsidR="0077069D" w:rsidRPr="001C3F5A">
        <w:rPr>
          <w:rFonts w:eastAsia="Calibri" w:cs="Arial"/>
          <w:noProof/>
          <w:szCs w:val="24"/>
        </w:rPr>
        <w:t xml:space="preserve"> dostavljen</w:t>
      </w:r>
      <w:r w:rsidR="00C12E75" w:rsidRPr="001C3F5A">
        <w:rPr>
          <w:rFonts w:eastAsia="Calibri" w:cs="Arial"/>
          <w:noProof/>
          <w:szCs w:val="24"/>
        </w:rPr>
        <w:t>e</w:t>
      </w:r>
      <w:r w:rsidR="0077069D" w:rsidRPr="001C3F5A">
        <w:rPr>
          <w:rFonts w:eastAsia="Calibri" w:cs="Arial"/>
          <w:noProof/>
          <w:szCs w:val="24"/>
        </w:rPr>
        <w:t xml:space="preserve"> zahtjev</w:t>
      </w:r>
      <w:r w:rsidR="00C12E75" w:rsidRPr="001C3F5A">
        <w:rPr>
          <w:rFonts w:eastAsia="Calibri" w:cs="Arial"/>
          <w:noProof/>
          <w:szCs w:val="24"/>
        </w:rPr>
        <w:t>e</w:t>
      </w:r>
      <w:r w:rsidR="0077069D" w:rsidRPr="001C3F5A">
        <w:rPr>
          <w:rFonts w:eastAsia="Calibri" w:cs="Arial"/>
          <w:noProof/>
          <w:szCs w:val="24"/>
        </w:rPr>
        <w:t xml:space="preserve"> sa pripadajućom dokumentacijom</w:t>
      </w:r>
      <w:r w:rsidR="00C12E75" w:rsidRPr="001C3F5A">
        <w:rPr>
          <w:rFonts w:eastAsia="Calibri" w:cs="Arial"/>
          <w:noProof/>
          <w:szCs w:val="24"/>
        </w:rPr>
        <w:t xml:space="preserve"> i izvršenog ocjenjivanja</w:t>
      </w:r>
      <w:r w:rsidR="001C3F5A" w:rsidRPr="001C3F5A">
        <w:rPr>
          <w:rFonts w:eastAsia="Calibri" w:cs="Arial"/>
          <w:noProof/>
          <w:szCs w:val="24"/>
        </w:rPr>
        <w:t xml:space="preserve"> po obrazcu </w:t>
      </w:r>
      <w:r w:rsidR="007005BD">
        <w:rPr>
          <w:rFonts w:eastAsia="Calibri" w:cs="Arial"/>
          <w:noProof/>
          <w:szCs w:val="24"/>
        </w:rPr>
        <w:t xml:space="preserve">broj </w:t>
      </w:r>
      <w:r w:rsidR="001C3F5A" w:rsidRPr="001C3F5A">
        <w:rPr>
          <w:rFonts w:eastAsia="Calibri" w:cs="Arial"/>
          <w:noProof/>
          <w:szCs w:val="24"/>
        </w:rPr>
        <w:t xml:space="preserve">1., </w:t>
      </w:r>
      <w:r w:rsidR="00010062" w:rsidRPr="001C3F5A">
        <w:rPr>
          <w:rFonts w:eastAsia="Calibri" w:cs="Arial"/>
          <w:noProof/>
          <w:szCs w:val="24"/>
        </w:rPr>
        <w:t>koji je sastavni dio ovog Programa i Javnog poziva</w:t>
      </w:r>
      <w:r w:rsidRPr="001C3F5A">
        <w:rPr>
          <w:rFonts w:eastAsia="Calibri" w:cs="Arial"/>
          <w:noProof/>
          <w:szCs w:val="24"/>
        </w:rPr>
        <w:t xml:space="preserve">, </w:t>
      </w:r>
      <w:r w:rsidR="0077069D" w:rsidRPr="001C3F5A">
        <w:rPr>
          <w:rFonts w:eastAsia="Calibri" w:cs="Arial"/>
          <w:noProof/>
          <w:szCs w:val="24"/>
        </w:rPr>
        <w:t>formira se</w:t>
      </w:r>
      <w:r w:rsidRPr="001C3F5A">
        <w:rPr>
          <w:rFonts w:eastAsia="Calibri" w:cs="Arial"/>
          <w:noProof/>
          <w:szCs w:val="24"/>
        </w:rPr>
        <w:t xml:space="preserve"> rang list</w:t>
      </w:r>
      <w:r w:rsidR="0077069D" w:rsidRPr="001C3F5A">
        <w:rPr>
          <w:rFonts w:eastAsia="Calibri" w:cs="Arial"/>
          <w:noProof/>
          <w:szCs w:val="24"/>
        </w:rPr>
        <w:t>a privrednih društava</w:t>
      </w:r>
      <w:r w:rsidRPr="001C3F5A">
        <w:rPr>
          <w:rFonts w:eastAsia="Calibri" w:cs="Arial"/>
          <w:noProof/>
          <w:szCs w:val="24"/>
        </w:rPr>
        <w:t xml:space="preserve"> na osnovu visine dodijeljenih bodova</w:t>
      </w:r>
      <w:r w:rsidR="0077069D" w:rsidRPr="001C3F5A">
        <w:rPr>
          <w:rFonts w:eastAsia="Calibri" w:cs="Arial"/>
          <w:noProof/>
          <w:szCs w:val="24"/>
        </w:rPr>
        <w:t xml:space="preserve"> (od najveće</w:t>
      </w:r>
      <w:r w:rsidR="001C3F5A" w:rsidRPr="001C3F5A">
        <w:rPr>
          <w:rFonts w:eastAsia="Calibri" w:cs="Arial"/>
          <w:noProof/>
          <w:szCs w:val="24"/>
        </w:rPr>
        <w:t>g</w:t>
      </w:r>
      <w:r w:rsidR="0077069D" w:rsidRPr="001C3F5A">
        <w:rPr>
          <w:rFonts w:eastAsia="Calibri" w:cs="Arial"/>
          <w:noProof/>
          <w:szCs w:val="24"/>
        </w:rPr>
        <w:t xml:space="preserve"> do najmanje</w:t>
      </w:r>
      <w:r w:rsidR="001C3F5A" w:rsidRPr="001C3F5A">
        <w:rPr>
          <w:rFonts w:eastAsia="Calibri" w:cs="Arial"/>
          <w:noProof/>
          <w:szCs w:val="24"/>
        </w:rPr>
        <w:t>g</w:t>
      </w:r>
      <w:r w:rsidR="0077069D" w:rsidRPr="001C3F5A">
        <w:rPr>
          <w:rFonts w:eastAsia="Calibri" w:cs="Arial"/>
          <w:noProof/>
          <w:szCs w:val="24"/>
        </w:rPr>
        <w:t>)</w:t>
      </w:r>
      <w:r w:rsidRPr="001C3F5A">
        <w:rPr>
          <w:rFonts w:eastAsia="Calibri" w:cs="Arial"/>
          <w:noProof/>
          <w:szCs w:val="24"/>
        </w:rPr>
        <w:t>,</w:t>
      </w:r>
      <w:r w:rsidR="0077069D" w:rsidRPr="001C3F5A">
        <w:rPr>
          <w:rFonts w:eastAsia="Calibri" w:cs="Arial"/>
          <w:noProof/>
          <w:szCs w:val="24"/>
        </w:rPr>
        <w:t xml:space="preserve"> te se</w:t>
      </w:r>
      <w:r w:rsidRPr="001C3F5A">
        <w:rPr>
          <w:rFonts w:eastAsia="Calibri" w:cs="Arial"/>
          <w:noProof/>
          <w:szCs w:val="24"/>
        </w:rPr>
        <w:t xml:space="preserve"> na osnovu Programom i Javnim</w:t>
      </w:r>
      <w:r w:rsidR="00BA5A78" w:rsidRPr="001C3F5A">
        <w:rPr>
          <w:rFonts w:eastAsia="Calibri" w:cs="Arial"/>
          <w:noProof/>
          <w:szCs w:val="24"/>
        </w:rPr>
        <w:t xml:space="preserve"> pozivom definisanih kriterija i </w:t>
      </w:r>
      <w:r w:rsidR="0077069D" w:rsidRPr="001C3F5A">
        <w:rPr>
          <w:rFonts w:eastAsia="Calibri" w:cs="Arial"/>
          <w:noProof/>
          <w:szCs w:val="24"/>
        </w:rPr>
        <w:t xml:space="preserve">drugih </w:t>
      </w:r>
      <w:r w:rsidR="0077069D" w:rsidRPr="00035EE5">
        <w:rPr>
          <w:rFonts w:eastAsia="Calibri" w:cs="Arial"/>
          <w:noProof/>
          <w:szCs w:val="24"/>
        </w:rPr>
        <w:t>internih akata (ukoliko postoje)</w:t>
      </w:r>
      <w:r w:rsidR="00BA5A78" w:rsidRPr="00035EE5">
        <w:rPr>
          <w:rFonts w:eastAsia="Calibri" w:cs="Arial"/>
          <w:noProof/>
          <w:szCs w:val="24"/>
        </w:rPr>
        <w:t xml:space="preserve">, </w:t>
      </w:r>
      <w:r w:rsidRPr="00035EE5">
        <w:rPr>
          <w:rFonts w:eastAsia="Calibri" w:cs="Arial"/>
          <w:noProof/>
          <w:szCs w:val="24"/>
          <w:lang w:val="hr-HR"/>
        </w:rPr>
        <w:t>sačin</w:t>
      </w:r>
      <w:r w:rsidR="0077069D" w:rsidRPr="00035EE5">
        <w:rPr>
          <w:rFonts w:eastAsia="Calibri" w:cs="Arial"/>
          <w:noProof/>
          <w:szCs w:val="24"/>
          <w:lang w:val="hr-HR"/>
        </w:rPr>
        <w:t>java</w:t>
      </w:r>
      <w:r w:rsidR="00035EE5" w:rsidRPr="00035EE5">
        <w:rPr>
          <w:rFonts w:eastAsia="Calibri" w:cs="Arial"/>
          <w:noProof/>
          <w:szCs w:val="24"/>
          <w:lang w:val="hr-HR"/>
        </w:rPr>
        <w:t xml:space="preserve"> Prijedlog odluke o izboru korisnika grant sredstava, dostavlja se na mišljenje nadležnoj Službi Ministarstva i nadležnim institucijama u Federaciji B</w:t>
      </w:r>
      <w:r w:rsidR="00ED62A3">
        <w:rPr>
          <w:rFonts w:eastAsia="Calibri" w:cs="Arial"/>
          <w:noProof/>
          <w:szCs w:val="24"/>
          <w:lang w:val="hr-HR"/>
        </w:rPr>
        <w:t xml:space="preserve">osne </w:t>
      </w:r>
      <w:r w:rsidR="00035EE5" w:rsidRPr="00035EE5">
        <w:rPr>
          <w:rFonts w:eastAsia="Calibri" w:cs="Arial"/>
          <w:noProof/>
          <w:szCs w:val="24"/>
          <w:lang w:val="hr-HR"/>
        </w:rPr>
        <w:t>i</w:t>
      </w:r>
      <w:r w:rsidR="00ED62A3">
        <w:rPr>
          <w:rFonts w:eastAsia="Calibri" w:cs="Arial"/>
          <w:noProof/>
          <w:szCs w:val="24"/>
          <w:lang w:val="hr-HR"/>
        </w:rPr>
        <w:t xml:space="preserve"> </w:t>
      </w:r>
      <w:r w:rsidR="00035EE5" w:rsidRPr="00035EE5">
        <w:rPr>
          <w:rFonts w:eastAsia="Calibri" w:cs="Arial"/>
          <w:noProof/>
          <w:szCs w:val="24"/>
          <w:lang w:val="hr-HR"/>
        </w:rPr>
        <w:t>H</w:t>
      </w:r>
      <w:r w:rsidR="00A7376B">
        <w:rPr>
          <w:rFonts w:eastAsia="Calibri" w:cs="Arial"/>
          <w:noProof/>
          <w:szCs w:val="24"/>
          <w:lang w:val="hr-HR"/>
        </w:rPr>
        <w:t>ercegovine</w:t>
      </w:r>
      <w:r w:rsidR="00035EE5" w:rsidRPr="00035EE5">
        <w:rPr>
          <w:rFonts w:eastAsia="Calibri" w:cs="Arial"/>
          <w:noProof/>
          <w:szCs w:val="24"/>
          <w:lang w:val="hr-HR"/>
        </w:rPr>
        <w:t xml:space="preserve">, a nakon dostavljenih mišljenja, zajedno sa istim se dostavlja Vladi Federacije </w:t>
      </w:r>
      <w:r w:rsidR="009827C2">
        <w:rPr>
          <w:rFonts w:eastAsia="Calibri" w:cs="Arial"/>
          <w:noProof/>
          <w:szCs w:val="24"/>
          <w:lang w:val="hr-HR"/>
        </w:rPr>
        <w:t xml:space="preserve">Bosne i Hercegovine </w:t>
      </w:r>
      <w:r w:rsidR="00035EE5" w:rsidRPr="00035EE5">
        <w:rPr>
          <w:rFonts w:eastAsia="Calibri" w:cs="Arial"/>
          <w:noProof/>
          <w:szCs w:val="24"/>
          <w:lang w:val="hr-HR"/>
        </w:rPr>
        <w:t>na razmatranje i usvajanje.</w:t>
      </w:r>
    </w:p>
    <w:p w:rsidR="009B5CC0" w:rsidRDefault="009B5CC0" w:rsidP="009B5CC0">
      <w:pPr>
        <w:ind w:right="-51"/>
        <w:jc w:val="both"/>
        <w:rPr>
          <w:rFonts w:eastAsia="Calibri" w:cs="Arial"/>
          <w:noProof/>
          <w:szCs w:val="24"/>
          <w:lang w:val="hr-HR"/>
        </w:rPr>
      </w:pPr>
      <w:r>
        <w:rPr>
          <w:rFonts w:eastAsia="Calibri" w:cs="Arial"/>
          <w:noProof/>
          <w:szCs w:val="24"/>
          <w:lang w:val="hr-HR"/>
        </w:rPr>
        <w:t>Napomena:</w:t>
      </w:r>
    </w:p>
    <w:p w:rsidR="00E3548F" w:rsidRPr="008D53BC" w:rsidRDefault="00E3548F" w:rsidP="008D53BC">
      <w:pPr>
        <w:jc w:val="both"/>
        <w:rPr>
          <w:rFonts w:cs="Arial"/>
        </w:rPr>
      </w:pPr>
      <w:r>
        <w:rPr>
          <w:rFonts w:eastAsia="Calibri" w:cs="Arial"/>
        </w:rPr>
        <w:t>U</w:t>
      </w:r>
      <w:r w:rsidRPr="00D81C53">
        <w:rPr>
          <w:rFonts w:eastAsia="Calibri" w:cs="Arial"/>
        </w:rPr>
        <w:t xml:space="preserve"> slučaju da je ukupan iznos sredstava svih formalno ispravnih zahtjeva, veći od</w:t>
      </w:r>
      <w:r>
        <w:rPr>
          <w:rFonts w:eastAsia="Calibri" w:cs="Arial"/>
        </w:rPr>
        <w:t xml:space="preserve"> raspoloživog iznosa za </w:t>
      </w:r>
      <w:r w:rsidR="008C2673">
        <w:rPr>
          <w:rFonts w:eastAsia="Calibri" w:cs="Arial"/>
        </w:rPr>
        <w:t>dodjelu</w:t>
      </w:r>
      <w:r>
        <w:rPr>
          <w:rFonts w:eastAsia="Calibri" w:cs="Arial"/>
        </w:rPr>
        <w:t xml:space="preserve">, Komisija za selekciju će formirati zbirnu listu svih </w:t>
      </w:r>
      <w:r w:rsidR="00466BE8">
        <w:rPr>
          <w:rFonts w:eastAsia="Calibri" w:cs="Arial"/>
        </w:rPr>
        <w:t>formalno ispravnih</w:t>
      </w:r>
      <w:r>
        <w:rPr>
          <w:rFonts w:eastAsia="Calibri" w:cs="Arial"/>
        </w:rPr>
        <w:t xml:space="preserve"> korisnika sa </w:t>
      </w:r>
      <w:r w:rsidRPr="001C33D7">
        <w:rPr>
          <w:rFonts w:eastAsia="Calibri" w:cs="Arial"/>
        </w:rPr>
        <w:t>imenima zaposlenika</w:t>
      </w:r>
      <w:r>
        <w:rPr>
          <w:rFonts w:eastAsia="Calibri" w:cs="Arial"/>
        </w:rPr>
        <w:t xml:space="preserve">, datumom </w:t>
      </w:r>
      <w:r w:rsidRPr="001C33D7">
        <w:rPr>
          <w:rFonts w:eastAsia="Calibri" w:cs="Arial"/>
        </w:rPr>
        <w:t>sticanja prava na penziju</w:t>
      </w:r>
      <w:r>
        <w:rPr>
          <w:rFonts w:eastAsia="Calibri" w:cs="Arial"/>
        </w:rPr>
        <w:t xml:space="preserve"> i iznosom za uplatu po osnovu duga za PIO/MIO.</w:t>
      </w:r>
      <w:r w:rsidR="00466BE8">
        <w:rPr>
          <w:rFonts w:eastAsia="Calibri" w:cs="Arial"/>
        </w:rPr>
        <w:t xml:space="preserve"> </w:t>
      </w:r>
      <w:r>
        <w:rPr>
          <w:rFonts w:eastAsia="Calibri" w:cs="Arial"/>
        </w:rPr>
        <w:t>N</w:t>
      </w:r>
      <w:r w:rsidR="00AF6383">
        <w:rPr>
          <w:rFonts w:eastAsia="Calibri" w:cs="Arial"/>
        </w:rPr>
        <w:t>akon toga</w:t>
      </w:r>
      <w:r w:rsidR="00466BE8">
        <w:rPr>
          <w:rFonts w:eastAsia="Calibri" w:cs="Arial"/>
        </w:rPr>
        <w:t xml:space="preserve"> se formira rang lista sa datomom sticanja prava na penzionisanje, hronološkim redosljedom od najstarijeg datuma. U tom slučaju</w:t>
      </w:r>
      <w:r w:rsidRPr="001C33D7">
        <w:rPr>
          <w:rFonts w:eastAsia="Calibri" w:cs="Arial"/>
        </w:rPr>
        <w:t xml:space="preserve"> prednost će imati zaposlenik sa ranijim datumom sticanja prava na penziju</w:t>
      </w:r>
      <w:r>
        <w:rPr>
          <w:rFonts w:eastAsia="Calibri" w:cs="Arial"/>
        </w:rPr>
        <w:t>.</w:t>
      </w:r>
    </w:p>
    <w:p w:rsidR="00D35805" w:rsidRPr="001C3F5A" w:rsidRDefault="0077069D" w:rsidP="002827D1">
      <w:pPr>
        <w:ind w:right="-51"/>
        <w:jc w:val="both"/>
        <w:rPr>
          <w:rFonts w:eastAsia="Calibri" w:cs="Arial"/>
          <w:noProof/>
          <w:szCs w:val="24"/>
        </w:rPr>
      </w:pPr>
      <w:r w:rsidRPr="001C3F5A">
        <w:rPr>
          <w:rFonts w:eastAsia="Calibri" w:cs="Arial"/>
          <w:noProof/>
          <w:szCs w:val="24"/>
        </w:rPr>
        <w:t>O</w:t>
      </w:r>
      <w:r w:rsidR="00D35805" w:rsidRPr="001C3F5A">
        <w:rPr>
          <w:rFonts w:eastAsia="Calibri" w:cs="Arial"/>
          <w:noProof/>
          <w:szCs w:val="24"/>
        </w:rPr>
        <w:t xml:space="preserve">d </w:t>
      </w:r>
      <w:r w:rsidRPr="001C3F5A">
        <w:rPr>
          <w:rFonts w:eastAsia="Calibri" w:cs="Arial"/>
          <w:noProof/>
          <w:szCs w:val="24"/>
        </w:rPr>
        <w:t>privrednog društva koje je dostavilo zahtjev za dodjelu sredstava, može se zatražiti</w:t>
      </w:r>
      <w:r w:rsidR="00D35805" w:rsidRPr="001C3F5A">
        <w:rPr>
          <w:rFonts w:eastAsia="Calibri" w:cs="Arial"/>
          <w:noProof/>
          <w:szCs w:val="24"/>
        </w:rPr>
        <w:t xml:space="preserve"> dodatn</w:t>
      </w:r>
      <w:r w:rsidRPr="001C3F5A">
        <w:rPr>
          <w:rFonts w:eastAsia="Calibri" w:cs="Arial"/>
          <w:noProof/>
          <w:szCs w:val="24"/>
        </w:rPr>
        <w:t>a</w:t>
      </w:r>
      <w:r w:rsidR="00D35805" w:rsidRPr="001C3F5A">
        <w:rPr>
          <w:rFonts w:eastAsia="Calibri" w:cs="Arial"/>
          <w:noProof/>
          <w:szCs w:val="24"/>
        </w:rPr>
        <w:t xml:space="preserve"> dokumentacij</w:t>
      </w:r>
      <w:r w:rsidRPr="001C3F5A">
        <w:rPr>
          <w:rFonts w:eastAsia="Calibri" w:cs="Arial"/>
          <w:noProof/>
          <w:szCs w:val="24"/>
        </w:rPr>
        <w:t>a ili pojašnjenja u pisanoj formi</w:t>
      </w:r>
      <w:r w:rsidR="00D35805" w:rsidRPr="001C3F5A">
        <w:rPr>
          <w:rFonts w:eastAsia="Calibri" w:cs="Arial"/>
          <w:noProof/>
          <w:szCs w:val="24"/>
        </w:rPr>
        <w:t>.</w:t>
      </w:r>
    </w:p>
    <w:p w:rsidR="00D35805" w:rsidRPr="001C3F5A" w:rsidRDefault="00A010E9" w:rsidP="002827D1">
      <w:pPr>
        <w:ind w:right="-51"/>
        <w:jc w:val="both"/>
        <w:rPr>
          <w:rFonts w:eastAsia="Calibri" w:cs="Arial"/>
          <w:noProof/>
          <w:szCs w:val="24"/>
        </w:rPr>
      </w:pPr>
      <w:r w:rsidRPr="001C3F5A">
        <w:rPr>
          <w:rFonts w:eastAsia="Calibri" w:cs="Arial"/>
          <w:noProof/>
          <w:szCs w:val="24"/>
        </w:rPr>
        <w:t>Ministarstvo</w:t>
      </w:r>
      <w:r w:rsidR="00D35805" w:rsidRPr="001C3F5A">
        <w:rPr>
          <w:rFonts w:eastAsia="Calibri" w:cs="Arial"/>
          <w:noProof/>
          <w:szCs w:val="24"/>
        </w:rPr>
        <w:t xml:space="preserve"> odlučuje o svim naknadnim zahtje</w:t>
      </w:r>
      <w:r w:rsidR="00ED62A3">
        <w:rPr>
          <w:rFonts w:eastAsia="Calibri" w:cs="Arial"/>
          <w:noProof/>
          <w:szCs w:val="24"/>
        </w:rPr>
        <w:t>vima korisnika za izmjenama usl</w:t>
      </w:r>
      <w:r w:rsidR="00D35805" w:rsidRPr="001C3F5A">
        <w:rPr>
          <w:rFonts w:eastAsia="Calibri" w:cs="Arial"/>
          <w:noProof/>
          <w:szCs w:val="24"/>
        </w:rPr>
        <w:t>jed nastupanja neplaniranih okolnosti.</w:t>
      </w:r>
    </w:p>
    <w:p w:rsidR="00C667B0" w:rsidRDefault="00D35805" w:rsidP="002827D1">
      <w:pPr>
        <w:ind w:right="-51"/>
        <w:jc w:val="both"/>
        <w:rPr>
          <w:rFonts w:eastAsia="Calibri" w:cs="Arial"/>
          <w:noProof/>
          <w:szCs w:val="24"/>
          <w:lang w:val="hr-HR"/>
        </w:rPr>
      </w:pPr>
      <w:r w:rsidRPr="001C3F5A">
        <w:rPr>
          <w:rFonts w:eastAsia="Calibri" w:cs="Arial"/>
          <w:noProof/>
          <w:szCs w:val="24"/>
          <w:lang w:val="hr-HR"/>
        </w:rPr>
        <w:t>Podnosioci zahtjeva kojima su odobren</w:t>
      </w:r>
      <w:r w:rsidR="00C667B0" w:rsidRPr="001C3F5A">
        <w:rPr>
          <w:rFonts w:eastAsia="Calibri" w:cs="Arial"/>
          <w:noProof/>
          <w:szCs w:val="24"/>
          <w:lang w:val="hr-HR"/>
        </w:rPr>
        <w:t>a</w:t>
      </w:r>
      <w:r w:rsidRPr="001C3F5A">
        <w:rPr>
          <w:rFonts w:eastAsia="Calibri" w:cs="Arial"/>
          <w:noProof/>
          <w:szCs w:val="24"/>
          <w:lang w:val="hr-HR"/>
        </w:rPr>
        <w:t xml:space="preserve"> </w:t>
      </w:r>
      <w:r w:rsidR="00C667B0" w:rsidRPr="001C3F5A">
        <w:rPr>
          <w:rFonts w:eastAsia="Calibri" w:cs="Arial"/>
          <w:noProof/>
          <w:szCs w:val="24"/>
          <w:lang w:val="hr-HR"/>
        </w:rPr>
        <w:t>sredstva</w:t>
      </w:r>
      <w:r w:rsidRPr="001C3F5A">
        <w:rPr>
          <w:rFonts w:eastAsia="Calibri" w:cs="Arial"/>
          <w:noProof/>
          <w:szCs w:val="24"/>
          <w:lang w:val="hr-HR"/>
        </w:rPr>
        <w:t>, pozivaju se na potpisivanje ugovora</w:t>
      </w:r>
      <w:r w:rsidR="009827C2">
        <w:rPr>
          <w:rFonts w:eastAsia="Calibri" w:cs="Arial"/>
          <w:noProof/>
          <w:szCs w:val="24"/>
          <w:lang w:val="hr-HR"/>
        </w:rPr>
        <w:t>,</w:t>
      </w:r>
      <w:r w:rsidRPr="001C3F5A">
        <w:rPr>
          <w:rFonts w:eastAsia="Calibri" w:cs="Arial"/>
          <w:noProof/>
          <w:szCs w:val="24"/>
          <w:lang w:val="hr-HR"/>
        </w:rPr>
        <w:t xml:space="preserve"> kojim se preciziraju sva prava i obaveze ugovornih strana</w:t>
      </w:r>
      <w:r w:rsidR="00C667B0" w:rsidRPr="001C3F5A">
        <w:rPr>
          <w:rFonts w:eastAsia="Calibri" w:cs="Arial"/>
          <w:noProof/>
          <w:szCs w:val="24"/>
          <w:lang w:val="hr-HR"/>
        </w:rPr>
        <w:t>.</w:t>
      </w:r>
    </w:p>
    <w:p w:rsidR="009B5CC0" w:rsidRDefault="009B5CC0" w:rsidP="002827D1">
      <w:pPr>
        <w:ind w:right="-51"/>
        <w:jc w:val="both"/>
        <w:rPr>
          <w:rFonts w:eastAsia="Calibri" w:cs="Arial"/>
          <w:noProof/>
          <w:szCs w:val="24"/>
          <w:lang w:val="hr-HR"/>
        </w:rPr>
      </w:pPr>
    </w:p>
    <w:p w:rsidR="00D35805" w:rsidRPr="00787E21" w:rsidRDefault="00D35805" w:rsidP="00271EFA">
      <w:pPr>
        <w:ind w:right="-51"/>
        <w:jc w:val="both"/>
        <w:rPr>
          <w:rFonts w:eastAsia="Calibri" w:cs="Arial"/>
          <w:noProof/>
          <w:szCs w:val="24"/>
          <w:lang w:val="hr-HR"/>
        </w:rPr>
      </w:pPr>
    </w:p>
    <w:tbl>
      <w:tblPr>
        <w:tblStyle w:val="TableGrid21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FFC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70FB8" w:rsidRPr="00870FB8" w:rsidTr="000F72C1">
        <w:trPr>
          <w:trHeight w:val="425"/>
        </w:trPr>
        <w:tc>
          <w:tcPr>
            <w:tcW w:w="9072" w:type="dxa"/>
            <w:vAlign w:val="center"/>
          </w:tcPr>
          <w:p w:rsidR="00870FB8" w:rsidRPr="00870FB8" w:rsidRDefault="00870FB8" w:rsidP="00870FB8">
            <w:pPr>
              <w:tabs>
                <w:tab w:val="left" w:pos="567"/>
              </w:tabs>
              <w:rPr>
                <w:b/>
                <w:noProof/>
                <w:sz w:val="24"/>
                <w:szCs w:val="24"/>
                <w:lang w:val="hr-HR"/>
              </w:rPr>
            </w:pPr>
            <w:r w:rsidRPr="00870FB8">
              <w:rPr>
                <w:b/>
                <w:noProof/>
                <w:sz w:val="24"/>
                <w:szCs w:val="24"/>
                <w:lang w:val="hr-HR"/>
              </w:rPr>
              <w:t>11. KONTROLA  UTROŠKA GRANT SREDSTAVA</w:t>
            </w:r>
          </w:p>
        </w:tc>
      </w:tr>
    </w:tbl>
    <w:p w:rsidR="00870FB8" w:rsidRPr="00537450" w:rsidRDefault="00870FB8" w:rsidP="00870FB8">
      <w:pPr>
        <w:rPr>
          <w:rFonts w:eastAsia="Calibri" w:cs="Arial"/>
          <w:sz w:val="20"/>
          <w:szCs w:val="20"/>
        </w:rPr>
      </w:pPr>
    </w:p>
    <w:p w:rsidR="000E3F41" w:rsidRDefault="000E3F41" w:rsidP="000E3F41">
      <w:pPr>
        <w:spacing w:before="120" w:after="240"/>
        <w:jc w:val="both"/>
        <w:rPr>
          <w:rFonts w:eastAsia="Times New Roman" w:cs="Arial"/>
          <w:bCs/>
          <w:szCs w:val="24"/>
          <w:lang w:eastAsia="hr-HR"/>
        </w:rPr>
      </w:pPr>
      <w:r w:rsidRPr="009712AC">
        <w:rPr>
          <w:rFonts w:eastAsia="Times New Roman" w:cs="Arial"/>
          <w:szCs w:val="24"/>
        </w:rPr>
        <w:t xml:space="preserve">U svrhu kontrole namjenskog korištenja dodijeljenih sredstava, Ministarstvo će od korisnika zatražiti pismeni dokaz Federalnog zavoda PIO/MIO </w:t>
      </w:r>
      <w:r w:rsidR="009712AC" w:rsidRPr="009712AC">
        <w:rPr>
          <w:rFonts w:eastAsia="Times New Roman" w:cs="Arial"/>
          <w:szCs w:val="24"/>
        </w:rPr>
        <w:t xml:space="preserve">kojim se dokazuje da su </w:t>
      </w:r>
      <w:r w:rsidRPr="009712AC">
        <w:rPr>
          <w:rFonts w:eastAsia="Times New Roman" w:cs="Arial"/>
          <w:szCs w:val="24"/>
        </w:rPr>
        <w:t>zaposlenici za koja su odobrena sredstva po ovom Programu, nakon uplate istih, po bilo kojem osnovu ostvarili pravo na penziju</w:t>
      </w:r>
      <w:r w:rsidR="00C62FD1">
        <w:rPr>
          <w:rFonts w:eastAsia="Times New Roman" w:cs="Arial"/>
          <w:szCs w:val="24"/>
        </w:rPr>
        <w:t>, odnosno da su penzionisani</w:t>
      </w:r>
      <w:r w:rsidRPr="009712AC">
        <w:rPr>
          <w:rFonts w:eastAsia="Times New Roman" w:cs="Arial"/>
          <w:szCs w:val="24"/>
        </w:rPr>
        <w:t>. Navedeni pismeni dokaz treba dostaviti najkasnije 120 dana (</w:t>
      </w:r>
      <w:r w:rsidR="00FD6391">
        <w:rPr>
          <w:rFonts w:eastAsia="Times New Roman" w:cs="Arial"/>
          <w:szCs w:val="24"/>
        </w:rPr>
        <w:t>četiri</w:t>
      </w:r>
      <w:r w:rsidRPr="009712AC">
        <w:rPr>
          <w:rFonts w:eastAsia="Times New Roman" w:cs="Arial"/>
          <w:szCs w:val="24"/>
        </w:rPr>
        <w:t xml:space="preserve"> mjeseca) od dana uplate dodijeljenih sredstava.</w:t>
      </w:r>
    </w:p>
    <w:tbl>
      <w:tblPr>
        <w:tblStyle w:val="TableGrid21"/>
        <w:tblW w:w="9271" w:type="dxa"/>
        <w:tblBorders>
          <w:top w:val="none" w:sz="0" w:space="0" w:color="auto"/>
          <w:left w:val="none" w:sz="0" w:space="0" w:color="auto"/>
          <w:bottom w:val="thinThickSmallGap" w:sz="24" w:space="0" w:color="FFC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1"/>
      </w:tblGrid>
      <w:tr w:rsidR="00870FB8" w:rsidRPr="00870FB8" w:rsidTr="00E94387">
        <w:trPr>
          <w:trHeight w:val="485"/>
        </w:trPr>
        <w:tc>
          <w:tcPr>
            <w:tcW w:w="9271" w:type="dxa"/>
            <w:vAlign w:val="center"/>
          </w:tcPr>
          <w:p w:rsidR="00870FB8" w:rsidRPr="00870FB8" w:rsidRDefault="00870FB8" w:rsidP="00870FB8">
            <w:pPr>
              <w:rPr>
                <w:b/>
                <w:noProof/>
                <w:sz w:val="24"/>
                <w:szCs w:val="24"/>
                <w:lang w:val="hr-HR"/>
              </w:rPr>
            </w:pPr>
            <w:r w:rsidRPr="00870FB8">
              <w:rPr>
                <w:b/>
                <w:noProof/>
                <w:sz w:val="24"/>
                <w:szCs w:val="24"/>
                <w:lang w:val="hr-HR"/>
              </w:rPr>
              <w:t>12. OBJAVLJIVANJE AKTA</w:t>
            </w:r>
          </w:p>
        </w:tc>
      </w:tr>
    </w:tbl>
    <w:p w:rsidR="00870FB8" w:rsidRPr="00537450" w:rsidRDefault="00870FB8" w:rsidP="00870FB8">
      <w:pPr>
        <w:jc w:val="both"/>
        <w:rPr>
          <w:rFonts w:eastAsia="Calibri" w:cs="Arial"/>
          <w:noProof/>
          <w:sz w:val="20"/>
          <w:szCs w:val="20"/>
          <w:lang w:val="hr-HR"/>
        </w:rPr>
      </w:pPr>
    </w:p>
    <w:p w:rsidR="00870FB8" w:rsidRPr="00262778" w:rsidRDefault="00C37C30" w:rsidP="002827D1">
      <w:pPr>
        <w:jc w:val="both"/>
        <w:rPr>
          <w:rFonts w:eastAsia="Calibri" w:cs="Arial"/>
          <w:szCs w:val="24"/>
          <w:u w:val="single"/>
        </w:rPr>
      </w:pPr>
      <w:r>
        <w:rPr>
          <w:rFonts w:eastAsia="Calibri" w:cs="Arial"/>
          <w:szCs w:val="24"/>
        </w:rPr>
        <w:t xml:space="preserve">Ministarstvo će ovaj Program, Javni poziv, </w:t>
      </w:r>
      <w:r w:rsidR="00870FB8" w:rsidRPr="00262778">
        <w:rPr>
          <w:rFonts w:eastAsia="Calibri" w:cs="Arial"/>
          <w:noProof/>
          <w:szCs w:val="24"/>
          <w:lang w:val="hr-HR"/>
        </w:rPr>
        <w:t xml:space="preserve">Odluku o usvajanju Programa i Odluku o </w:t>
      </w:r>
      <w:r w:rsidR="00686FB0" w:rsidRPr="00262778">
        <w:rPr>
          <w:rFonts w:eastAsia="Calibri" w:cs="Arial"/>
          <w:noProof/>
          <w:szCs w:val="24"/>
          <w:lang w:val="hr-HR"/>
        </w:rPr>
        <w:t>dodjeli sredstava</w:t>
      </w:r>
      <w:r w:rsidR="00870FB8" w:rsidRPr="00262778">
        <w:rPr>
          <w:rFonts w:eastAsia="Calibri" w:cs="Arial"/>
          <w:szCs w:val="24"/>
          <w:lang w:val="hr-HR"/>
        </w:rPr>
        <w:t>,</w:t>
      </w:r>
      <w:r w:rsidR="00870FB8" w:rsidRPr="00262778">
        <w:rPr>
          <w:rFonts w:eastAsia="Calibri" w:cs="Arial"/>
          <w:szCs w:val="24"/>
        </w:rPr>
        <w:t xml:space="preserve"> objaviti u „Službenim novinama Federacije </w:t>
      </w:r>
      <w:r w:rsidR="00870FB8" w:rsidRPr="00262778">
        <w:rPr>
          <w:rFonts w:eastAsia="Calibri" w:cs="Arial"/>
          <w:noProof/>
          <w:szCs w:val="24"/>
          <w:lang w:val="hr-HR"/>
        </w:rPr>
        <w:t>BiH</w:t>
      </w:r>
      <w:r w:rsidR="00870FB8" w:rsidRPr="00262778">
        <w:rPr>
          <w:rFonts w:eastAsia="Calibri" w:cs="Arial"/>
          <w:szCs w:val="24"/>
        </w:rPr>
        <w:t>“</w:t>
      </w:r>
      <w:r w:rsidR="001776D9" w:rsidRPr="00262778">
        <w:rPr>
          <w:rFonts w:eastAsia="Calibri" w:cs="Arial"/>
          <w:szCs w:val="24"/>
        </w:rPr>
        <w:t>, kao</w:t>
      </w:r>
      <w:r w:rsidR="00870FB8" w:rsidRPr="00262778">
        <w:rPr>
          <w:rFonts w:eastAsia="Calibri" w:cs="Arial"/>
          <w:szCs w:val="24"/>
        </w:rPr>
        <w:t xml:space="preserve"> </w:t>
      </w:r>
      <w:r w:rsidR="001776D9" w:rsidRPr="00262778">
        <w:rPr>
          <w:rFonts w:eastAsia="Calibri" w:cs="Arial"/>
          <w:szCs w:val="24"/>
        </w:rPr>
        <w:t>i na web stranici Ministarstva.</w:t>
      </w:r>
    </w:p>
    <w:p w:rsidR="00EF0001" w:rsidRPr="00262778" w:rsidRDefault="00870FB8" w:rsidP="002827D1">
      <w:pPr>
        <w:jc w:val="both"/>
        <w:rPr>
          <w:rFonts w:cs="Arial"/>
          <w:szCs w:val="24"/>
          <w:lang w:val="hr-HR"/>
        </w:rPr>
      </w:pPr>
      <w:r w:rsidRPr="00262778">
        <w:rPr>
          <w:rFonts w:eastAsia="Calibri" w:cs="Arial"/>
          <w:szCs w:val="24"/>
        </w:rPr>
        <w:t>Ministarstvo će</w:t>
      </w:r>
      <w:r w:rsidR="001776D9" w:rsidRPr="00262778">
        <w:rPr>
          <w:rFonts w:cs="Arial"/>
          <w:szCs w:val="24"/>
          <w:lang w:val="hr-HR"/>
        </w:rPr>
        <w:t xml:space="preserve"> O</w:t>
      </w:r>
      <w:r w:rsidR="00EF0001" w:rsidRPr="00262778">
        <w:rPr>
          <w:rFonts w:cs="Arial"/>
          <w:szCs w:val="24"/>
          <w:lang w:val="hr-HR"/>
        </w:rPr>
        <w:t xml:space="preserve">bavijest o objavi Javnog poziva </w:t>
      </w:r>
      <w:r w:rsidR="00C37C30">
        <w:rPr>
          <w:rFonts w:cs="Arial"/>
          <w:szCs w:val="24"/>
          <w:lang w:val="hr-HR"/>
        </w:rPr>
        <w:t>objaviti</w:t>
      </w:r>
      <w:r w:rsidR="00EF0001" w:rsidRPr="00262778">
        <w:rPr>
          <w:rFonts w:cs="Arial"/>
          <w:szCs w:val="24"/>
          <w:lang w:val="hr-HR"/>
        </w:rPr>
        <w:t xml:space="preserve"> u </w:t>
      </w:r>
      <w:r w:rsidR="00EF0001" w:rsidRPr="00262778">
        <w:rPr>
          <w:rFonts w:eastAsia="Calibri" w:cs="Arial"/>
          <w:szCs w:val="24"/>
        </w:rPr>
        <w:t xml:space="preserve">dnevnim novinama </w:t>
      </w:r>
      <w:r w:rsidR="00EF0001" w:rsidRPr="00262778">
        <w:rPr>
          <w:rFonts w:eastAsia="Calibri" w:cs="Arial"/>
          <w:szCs w:val="24"/>
          <w:lang w:val="hr-HR"/>
        </w:rPr>
        <w:t>„</w:t>
      </w:r>
      <w:r w:rsidR="00C37C30">
        <w:rPr>
          <w:rFonts w:eastAsia="Calibri" w:cs="Arial"/>
          <w:szCs w:val="24"/>
          <w:lang w:val="hr-HR"/>
        </w:rPr>
        <w:t>Oslobođenje</w:t>
      </w:r>
      <w:r w:rsidR="00EF0001" w:rsidRPr="00262778">
        <w:rPr>
          <w:rFonts w:eastAsia="Calibri" w:cs="Arial"/>
          <w:szCs w:val="24"/>
          <w:lang w:val="hr-HR"/>
        </w:rPr>
        <w:t>“</w:t>
      </w:r>
      <w:r w:rsidR="00C37C30">
        <w:rPr>
          <w:rFonts w:eastAsia="Calibri" w:cs="Arial"/>
          <w:szCs w:val="24"/>
          <w:lang w:val="hr-HR"/>
        </w:rPr>
        <w:t>.</w:t>
      </w:r>
    </w:p>
    <w:p w:rsidR="00EF0001" w:rsidRPr="00262778" w:rsidRDefault="00EF0001" w:rsidP="002827D1">
      <w:pPr>
        <w:jc w:val="both"/>
        <w:rPr>
          <w:rFonts w:cs="Arial"/>
          <w:szCs w:val="24"/>
          <w:lang w:val="hr-HR"/>
        </w:rPr>
      </w:pPr>
      <w:r w:rsidRPr="00262778">
        <w:rPr>
          <w:rFonts w:cs="Arial"/>
          <w:szCs w:val="24"/>
          <w:lang w:val="hr-HR"/>
        </w:rPr>
        <w:t xml:space="preserve">Javni poziv ostaje otvoren 30 dana od dana objave Javnog poziva u </w:t>
      </w:r>
      <w:r w:rsidR="00C37C30">
        <w:rPr>
          <w:rFonts w:cs="Arial"/>
          <w:szCs w:val="24"/>
          <w:lang w:val="hr-HR"/>
        </w:rPr>
        <w:t>Službenim novinama Federacije BiH</w:t>
      </w:r>
      <w:r w:rsidRPr="00262778">
        <w:rPr>
          <w:rFonts w:cs="Arial"/>
          <w:szCs w:val="24"/>
          <w:lang w:val="hr-HR"/>
        </w:rPr>
        <w:t>.</w:t>
      </w:r>
    </w:p>
    <w:p w:rsidR="00870FB8" w:rsidRPr="00870FB8" w:rsidRDefault="00870FB8" w:rsidP="00870FB8">
      <w:pPr>
        <w:jc w:val="center"/>
        <w:rPr>
          <w:rFonts w:eastAsia="Calibri" w:cs="Arial"/>
          <w:b/>
          <w:szCs w:val="24"/>
          <w:lang w:val="hr-HR"/>
        </w:rPr>
      </w:pPr>
      <w:bookmarkStart w:id="0" w:name="_GoBack"/>
      <w:bookmarkEnd w:id="0"/>
      <w:r w:rsidRPr="00870FB8">
        <w:rPr>
          <w:rFonts w:eastAsia="Calibri" w:cs="Arial"/>
          <w:b/>
          <w:szCs w:val="24"/>
          <w:lang w:val="hr-HR"/>
        </w:rPr>
        <w:t xml:space="preserve">                                                                          </w:t>
      </w:r>
      <w:r w:rsidR="00346670">
        <w:rPr>
          <w:rFonts w:eastAsia="Calibri" w:cs="Arial"/>
          <w:b/>
          <w:szCs w:val="24"/>
          <w:lang w:val="hr-HR"/>
        </w:rPr>
        <w:t xml:space="preserve">                              </w:t>
      </w:r>
      <w:r w:rsidRPr="00870FB8">
        <w:rPr>
          <w:rFonts w:eastAsia="Calibri" w:cs="Arial"/>
          <w:b/>
          <w:szCs w:val="24"/>
          <w:lang w:val="hr-HR"/>
        </w:rPr>
        <w:t xml:space="preserve">   M I N I S T A R                                                                                          </w:t>
      </w:r>
    </w:p>
    <w:p w:rsidR="00870FB8" w:rsidRPr="00870FB8" w:rsidRDefault="00870FB8" w:rsidP="00870FB8">
      <w:pPr>
        <w:jc w:val="both"/>
        <w:rPr>
          <w:rFonts w:eastAsia="Calibri" w:cs="Arial"/>
          <w:b/>
          <w:szCs w:val="24"/>
          <w:lang w:val="hr-HR"/>
        </w:rPr>
      </w:pPr>
      <w:r w:rsidRPr="00870FB8">
        <w:rPr>
          <w:rFonts w:eastAsia="Calibri" w:cs="Arial"/>
          <w:b/>
          <w:szCs w:val="24"/>
          <w:lang w:val="hr-HR"/>
        </w:rPr>
        <w:t xml:space="preserve">                      </w:t>
      </w:r>
    </w:p>
    <w:p w:rsidR="00870FB8" w:rsidRPr="00870FB8" w:rsidRDefault="00870FB8" w:rsidP="00BF3672">
      <w:pPr>
        <w:jc w:val="both"/>
        <w:rPr>
          <w:rFonts w:cs="Arial"/>
          <w:szCs w:val="24"/>
        </w:rPr>
      </w:pPr>
      <w:r w:rsidRPr="00870FB8">
        <w:rPr>
          <w:rFonts w:eastAsia="Calibri" w:cs="Arial"/>
          <w:b/>
          <w:szCs w:val="24"/>
          <w:lang w:val="hr-HR"/>
        </w:rPr>
        <w:t xml:space="preserve">                                                                                                              </w:t>
      </w:r>
      <w:r w:rsidR="00C37C30">
        <w:rPr>
          <w:rFonts w:eastAsia="Calibri" w:cs="Arial"/>
          <w:szCs w:val="24"/>
          <w:lang w:val="hr-HR"/>
        </w:rPr>
        <w:t>Vedran Lakić</w:t>
      </w:r>
    </w:p>
    <w:sectPr w:rsidR="00870FB8" w:rsidRPr="00870FB8" w:rsidSect="001A6395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2FA" w:rsidRDefault="00FA42FA" w:rsidP="001A6395">
      <w:r>
        <w:separator/>
      </w:r>
    </w:p>
  </w:endnote>
  <w:endnote w:type="continuationSeparator" w:id="0">
    <w:p w:rsidR="00FA42FA" w:rsidRDefault="00FA42FA" w:rsidP="001A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60546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6395" w:rsidRDefault="001A63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6D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A6395" w:rsidRDefault="001A6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2FA" w:rsidRDefault="00FA42FA" w:rsidP="001A6395">
      <w:r>
        <w:separator/>
      </w:r>
    </w:p>
  </w:footnote>
  <w:footnote w:type="continuationSeparator" w:id="0">
    <w:p w:rsidR="00FA42FA" w:rsidRDefault="00FA42FA" w:rsidP="001A6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56F6"/>
    <w:multiLevelType w:val="hybridMultilevel"/>
    <w:tmpl w:val="C2A02B60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A60A7"/>
    <w:multiLevelType w:val="hybridMultilevel"/>
    <w:tmpl w:val="82CA17DA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C676F"/>
    <w:multiLevelType w:val="hybridMultilevel"/>
    <w:tmpl w:val="C534D7F0"/>
    <w:lvl w:ilvl="0" w:tplc="A0CC5E0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94A92"/>
    <w:multiLevelType w:val="hybridMultilevel"/>
    <w:tmpl w:val="F260F494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F1DB1"/>
    <w:multiLevelType w:val="hybridMultilevel"/>
    <w:tmpl w:val="A2B6C080"/>
    <w:lvl w:ilvl="0" w:tplc="C0D8B6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1634B"/>
    <w:multiLevelType w:val="hybridMultilevel"/>
    <w:tmpl w:val="FD44BF38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570EB"/>
    <w:multiLevelType w:val="hybridMultilevel"/>
    <w:tmpl w:val="8014100A"/>
    <w:lvl w:ilvl="0" w:tplc="1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FBB207F"/>
    <w:multiLevelType w:val="hybridMultilevel"/>
    <w:tmpl w:val="DCE27D0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93C50"/>
    <w:multiLevelType w:val="hybridMultilevel"/>
    <w:tmpl w:val="ECB43722"/>
    <w:lvl w:ilvl="0" w:tplc="C0D8B62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E33349B"/>
    <w:multiLevelType w:val="hybridMultilevel"/>
    <w:tmpl w:val="6B7284D6"/>
    <w:lvl w:ilvl="0" w:tplc="AA0E69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2600A"/>
    <w:multiLevelType w:val="hybridMultilevel"/>
    <w:tmpl w:val="3F1EC226"/>
    <w:lvl w:ilvl="0" w:tplc="82B24D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24C99"/>
    <w:multiLevelType w:val="hybridMultilevel"/>
    <w:tmpl w:val="82FA187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D68F0"/>
    <w:multiLevelType w:val="hybridMultilevel"/>
    <w:tmpl w:val="02D2B05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31E98"/>
    <w:multiLevelType w:val="hybridMultilevel"/>
    <w:tmpl w:val="4406188C"/>
    <w:lvl w:ilvl="0" w:tplc="AA82BD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A16F1"/>
    <w:multiLevelType w:val="hybridMultilevel"/>
    <w:tmpl w:val="F836DDA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E2560"/>
    <w:multiLevelType w:val="hybridMultilevel"/>
    <w:tmpl w:val="A4C21680"/>
    <w:lvl w:ilvl="0" w:tplc="C0D8B6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43489"/>
    <w:multiLevelType w:val="hybridMultilevel"/>
    <w:tmpl w:val="70468644"/>
    <w:lvl w:ilvl="0" w:tplc="71E0119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5"/>
  </w:num>
  <w:num w:numId="5">
    <w:abstractNumId w:val="8"/>
  </w:num>
  <w:num w:numId="6">
    <w:abstractNumId w:val="4"/>
  </w:num>
  <w:num w:numId="7">
    <w:abstractNumId w:val="14"/>
  </w:num>
  <w:num w:numId="8">
    <w:abstractNumId w:val="1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11"/>
  </w:num>
  <w:num w:numId="13">
    <w:abstractNumId w:val="2"/>
  </w:num>
  <w:num w:numId="14">
    <w:abstractNumId w:val="6"/>
  </w:num>
  <w:num w:numId="15">
    <w:abstractNumId w:val="12"/>
  </w:num>
  <w:num w:numId="16">
    <w:abstractNumId w:val="7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B8"/>
    <w:rsid w:val="00006168"/>
    <w:rsid w:val="00007ACD"/>
    <w:rsid w:val="00010062"/>
    <w:rsid w:val="0002418B"/>
    <w:rsid w:val="0003290B"/>
    <w:rsid w:val="00033BAF"/>
    <w:rsid w:val="00035EE5"/>
    <w:rsid w:val="00041A7E"/>
    <w:rsid w:val="0004466F"/>
    <w:rsid w:val="00044EA5"/>
    <w:rsid w:val="000457EF"/>
    <w:rsid w:val="0004580D"/>
    <w:rsid w:val="00047A66"/>
    <w:rsid w:val="00050A2E"/>
    <w:rsid w:val="0005192B"/>
    <w:rsid w:val="00057F3B"/>
    <w:rsid w:val="000607AB"/>
    <w:rsid w:val="0006133B"/>
    <w:rsid w:val="000718B6"/>
    <w:rsid w:val="00074F29"/>
    <w:rsid w:val="00075AE7"/>
    <w:rsid w:val="000830A9"/>
    <w:rsid w:val="00083FF1"/>
    <w:rsid w:val="000923AF"/>
    <w:rsid w:val="0009345A"/>
    <w:rsid w:val="00093464"/>
    <w:rsid w:val="000969A1"/>
    <w:rsid w:val="000977BE"/>
    <w:rsid w:val="000A297B"/>
    <w:rsid w:val="000A5AED"/>
    <w:rsid w:val="000B1F81"/>
    <w:rsid w:val="000B2C7B"/>
    <w:rsid w:val="000B3213"/>
    <w:rsid w:val="000B3E07"/>
    <w:rsid w:val="000C6D5F"/>
    <w:rsid w:val="000C7728"/>
    <w:rsid w:val="000D0A8B"/>
    <w:rsid w:val="000D13EA"/>
    <w:rsid w:val="000E20C2"/>
    <w:rsid w:val="000E3F41"/>
    <w:rsid w:val="000E505D"/>
    <w:rsid w:val="000F0016"/>
    <w:rsid w:val="000F72C1"/>
    <w:rsid w:val="00106739"/>
    <w:rsid w:val="00110114"/>
    <w:rsid w:val="00111472"/>
    <w:rsid w:val="001125D4"/>
    <w:rsid w:val="0012007E"/>
    <w:rsid w:val="0012326C"/>
    <w:rsid w:val="0014049D"/>
    <w:rsid w:val="00140FF5"/>
    <w:rsid w:val="00141119"/>
    <w:rsid w:val="001426BC"/>
    <w:rsid w:val="001431A1"/>
    <w:rsid w:val="00147BD6"/>
    <w:rsid w:val="00165BA0"/>
    <w:rsid w:val="00167066"/>
    <w:rsid w:val="00174DB1"/>
    <w:rsid w:val="00176E55"/>
    <w:rsid w:val="001776D9"/>
    <w:rsid w:val="00184DBA"/>
    <w:rsid w:val="00186595"/>
    <w:rsid w:val="00190EEC"/>
    <w:rsid w:val="001A3576"/>
    <w:rsid w:val="001A6395"/>
    <w:rsid w:val="001B0106"/>
    <w:rsid w:val="001B059E"/>
    <w:rsid w:val="001B590C"/>
    <w:rsid w:val="001B745B"/>
    <w:rsid w:val="001C2457"/>
    <w:rsid w:val="001C3574"/>
    <w:rsid w:val="001C3F5A"/>
    <w:rsid w:val="001C561F"/>
    <w:rsid w:val="001D4DE2"/>
    <w:rsid w:val="001D5279"/>
    <w:rsid w:val="001D5F45"/>
    <w:rsid w:val="001E0A4B"/>
    <w:rsid w:val="001E2D15"/>
    <w:rsid w:val="001E3D03"/>
    <w:rsid w:val="001E5890"/>
    <w:rsid w:val="001E6C48"/>
    <w:rsid w:val="001F73D1"/>
    <w:rsid w:val="0020166E"/>
    <w:rsid w:val="002059CC"/>
    <w:rsid w:val="00211201"/>
    <w:rsid w:val="00213D47"/>
    <w:rsid w:val="0021627C"/>
    <w:rsid w:val="002475DA"/>
    <w:rsid w:val="002529EB"/>
    <w:rsid w:val="002601D4"/>
    <w:rsid w:val="00260625"/>
    <w:rsid w:val="00261B4D"/>
    <w:rsid w:val="00262778"/>
    <w:rsid w:val="00265A70"/>
    <w:rsid w:val="0027073D"/>
    <w:rsid w:val="00271EFA"/>
    <w:rsid w:val="00280AD8"/>
    <w:rsid w:val="00282447"/>
    <w:rsid w:val="002827D1"/>
    <w:rsid w:val="002967EF"/>
    <w:rsid w:val="0029738F"/>
    <w:rsid w:val="002A09B8"/>
    <w:rsid w:val="002B14E8"/>
    <w:rsid w:val="002B27D9"/>
    <w:rsid w:val="002B32FB"/>
    <w:rsid w:val="002B4874"/>
    <w:rsid w:val="002B6EA5"/>
    <w:rsid w:val="002C23EE"/>
    <w:rsid w:val="002D1005"/>
    <w:rsid w:val="002D3F9A"/>
    <w:rsid w:val="002F35FA"/>
    <w:rsid w:val="002F5696"/>
    <w:rsid w:val="00301147"/>
    <w:rsid w:val="00311E24"/>
    <w:rsid w:val="003230E8"/>
    <w:rsid w:val="00333DA3"/>
    <w:rsid w:val="00337730"/>
    <w:rsid w:val="0034029D"/>
    <w:rsid w:val="00343DC8"/>
    <w:rsid w:val="003443AC"/>
    <w:rsid w:val="00346670"/>
    <w:rsid w:val="00350276"/>
    <w:rsid w:val="00351E90"/>
    <w:rsid w:val="00353779"/>
    <w:rsid w:val="00365890"/>
    <w:rsid w:val="00367F7A"/>
    <w:rsid w:val="00370C78"/>
    <w:rsid w:val="00387469"/>
    <w:rsid w:val="003A3A66"/>
    <w:rsid w:val="003A52A5"/>
    <w:rsid w:val="003B092D"/>
    <w:rsid w:val="003B1195"/>
    <w:rsid w:val="003C0A6B"/>
    <w:rsid w:val="003D1536"/>
    <w:rsid w:val="003D3388"/>
    <w:rsid w:val="003D528E"/>
    <w:rsid w:val="003E29D0"/>
    <w:rsid w:val="003E301C"/>
    <w:rsid w:val="003F186B"/>
    <w:rsid w:val="003F4319"/>
    <w:rsid w:val="004019D7"/>
    <w:rsid w:val="00402315"/>
    <w:rsid w:val="00415C19"/>
    <w:rsid w:val="00417008"/>
    <w:rsid w:val="00425CDE"/>
    <w:rsid w:val="00425F18"/>
    <w:rsid w:val="00456382"/>
    <w:rsid w:val="00457489"/>
    <w:rsid w:val="00460501"/>
    <w:rsid w:val="00461B7B"/>
    <w:rsid w:val="00466BE8"/>
    <w:rsid w:val="00467D1C"/>
    <w:rsid w:val="00472865"/>
    <w:rsid w:val="00472875"/>
    <w:rsid w:val="00474A96"/>
    <w:rsid w:val="00480ABA"/>
    <w:rsid w:val="004A4C62"/>
    <w:rsid w:val="004C3B10"/>
    <w:rsid w:val="004C7B4A"/>
    <w:rsid w:val="004D02A3"/>
    <w:rsid w:val="004D32E7"/>
    <w:rsid w:val="004D34D6"/>
    <w:rsid w:val="004E3802"/>
    <w:rsid w:val="004E4989"/>
    <w:rsid w:val="004F4E20"/>
    <w:rsid w:val="004F7487"/>
    <w:rsid w:val="00507D68"/>
    <w:rsid w:val="0052434D"/>
    <w:rsid w:val="005245AE"/>
    <w:rsid w:val="00533187"/>
    <w:rsid w:val="00537450"/>
    <w:rsid w:val="00543418"/>
    <w:rsid w:val="00543CFB"/>
    <w:rsid w:val="00545AA1"/>
    <w:rsid w:val="00546061"/>
    <w:rsid w:val="005541EA"/>
    <w:rsid w:val="00554997"/>
    <w:rsid w:val="00561765"/>
    <w:rsid w:val="00561977"/>
    <w:rsid w:val="00584F04"/>
    <w:rsid w:val="0058728C"/>
    <w:rsid w:val="00591769"/>
    <w:rsid w:val="005A4B2A"/>
    <w:rsid w:val="005B0C5F"/>
    <w:rsid w:val="005B1659"/>
    <w:rsid w:val="005B6D1D"/>
    <w:rsid w:val="005C1138"/>
    <w:rsid w:val="005C5530"/>
    <w:rsid w:val="005D30A6"/>
    <w:rsid w:val="005D5C9E"/>
    <w:rsid w:val="005F2857"/>
    <w:rsid w:val="005F5EEA"/>
    <w:rsid w:val="006005C9"/>
    <w:rsid w:val="00600ACC"/>
    <w:rsid w:val="00611006"/>
    <w:rsid w:val="006171F6"/>
    <w:rsid w:val="006206AD"/>
    <w:rsid w:val="00624F89"/>
    <w:rsid w:val="00637D99"/>
    <w:rsid w:val="006434CD"/>
    <w:rsid w:val="006454A3"/>
    <w:rsid w:val="00645549"/>
    <w:rsid w:val="006507A1"/>
    <w:rsid w:val="0066141D"/>
    <w:rsid w:val="00667009"/>
    <w:rsid w:val="00686FB0"/>
    <w:rsid w:val="006875FD"/>
    <w:rsid w:val="00697A83"/>
    <w:rsid w:val="006A000F"/>
    <w:rsid w:val="006A0D40"/>
    <w:rsid w:val="006A6611"/>
    <w:rsid w:val="006B4638"/>
    <w:rsid w:val="006B644E"/>
    <w:rsid w:val="006B69A0"/>
    <w:rsid w:val="006C4596"/>
    <w:rsid w:val="006C5617"/>
    <w:rsid w:val="006D0881"/>
    <w:rsid w:val="006D2DDC"/>
    <w:rsid w:val="006D5C67"/>
    <w:rsid w:val="006F38A8"/>
    <w:rsid w:val="006F4DB0"/>
    <w:rsid w:val="006F54EE"/>
    <w:rsid w:val="006F7656"/>
    <w:rsid w:val="007005BD"/>
    <w:rsid w:val="0070206C"/>
    <w:rsid w:val="007166DB"/>
    <w:rsid w:val="00720B58"/>
    <w:rsid w:val="00721774"/>
    <w:rsid w:val="00730831"/>
    <w:rsid w:val="0073326D"/>
    <w:rsid w:val="00745B11"/>
    <w:rsid w:val="00751B99"/>
    <w:rsid w:val="0075666C"/>
    <w:rsid w:val="00763C4E"/>
    <w:rsid w:val="0077069D"/>
    <w:rsid w:val="007763BB"/>
    <w:rsid w:val="00781B30"/>
    <w:rsid w:val="0078270E"/>
    <w:rsid w:val="00787E21"/>
    <w:rsid w:val="00790EBF"/>
    <w:rsid w:val="007A5467"/>
    <w:rsid w:val="007B7B76"/>
    <w:rsid w:val="007C24A6"/>
    <w:rsid w:val="007C6709"/>
    <w:rsid w:val="007C6BB6"/>
    <w:rsid w:val="007D0A6B"/>
    <w:rsid w:val="007D49B2"/>
    <w:rsid w:val="007E19F7"/>
    <w:rsid w:val="007E2A87"/>
    <w:rsid w:val="007E6D1E"/>
    <w:rsid w:val="007F6501"/>
    <w:rsid w:val="008003F5"/>
    <w:rsid w:val="0080328E"/>
    <w:rsid w:val="00812CCC"/>
    <w:rsid w:val="00815EF7"/>
    <w:rsid w:val="00816B23"/>
    <w:rsid w:val="00821980"/>
    <w:rsid w:val="00823E9C"/>
    <w:rsid w:val="00832913"/>
    <w:rsid w:val="008369F0"/>
    <w:rsid w:val="00837C87"/>
    <w:rsid w:val="00844418"/>
    <w:rsid w:val="00851D61"/>
    <w:rsid w:val="00852672"/>
    <w:rsid w:val="0085563D"/>
    <w:rsid w:val="00861A51"/>
    <w:rsid w:val="00861D49"/>
    <w:rsid w:val="00866FB2"/>
    <w:rsid w:val="00870FB8"/>
    <w:rsid w:val="008719F9"/>
    <w:rsid w:val="00876386"/>
    <w:rsid w:val="00886C13"/>
    <w:rsid w:val="0089084B"/>
    <w:rsid w:val="00891C9E"/>
    <w:rsid w:val="00894D4B"/>
    <w:rsid w:val="008A263D"/>
    <w:rsid w:val="008A46C1"/>
    <w:rsid w:val="008B38CD"/>
    <w:rsid w:val="008B53D6"/>
    <w:rsid w:val="008C2673"/>
    <w:rsid w:val="008C52F8"/>
    <w:rsid w:val="008C5412"/>
    <w:rsid w:val="008C7869"/>
    <w:rsid w:val="008D53BC"/>
    <w:rsid w:val="008D54A3"/>
    <w:rsid w:val="008E167B"/>
    <w:rsid w:val="008E22B6"/>
    <w:rsid w:val="008E3945"/>
    <w:rsid w:val="008E3BDE"/>
    <w:rsid w:val="008F2142"/>
    <w:rsid w:val="008F66B8"/>
    <w:rsid w:val="008F71B8"/>
    <w:rsid w:val="00912F33"/>
    <w:rsid w:val="00915311"/>
    <w:rsid w:val="00921F0B"/>
    <w:rsid w:val="0092320E"/>
    <w:rsid w:val="00923408"/>
    <w:rsid w:val="009272D0"/>
    <w:rsid w:val="0092773B"/>
    <w:rsid w:val="00927B88"/>
    <w:rsid w:val="00927DCB"/>
    <w:rsid w:val="0093327B"/>
    <w:rsid w:val="009353BE"/>
    <w:rsid w:val="00937BAC"/>
    <w:rsid w:val="0094310F"/>
    <w:rsid w:val="009457E4"/>
    <w:rsid w:val="00945A13"/>
    <w:rsid w:val="00946DDC"/>
    <w:rsid w:val="0095035A"/>
    <w:rsid w:val="00956CDF"/>
    <w:rsid w:val="0095740F"/>
    <w:rsid w:val="009712AC"/>
    <w:rsid w:val="00971995"/>
    <w:rsid w:val="00973D46"/>
    <w:rsid w:val="0098020E"/>
    <w:rsid w:val="009827C2"/>
    <w:rsid w:val="00983B81"/>
    <w:rsid w:val="009915B3"/>
    <w:rsid w:val="009917ED"/>
    <w:rsid w:val="00993158"/>
    <w:rsid w:val="009A675F"/>
    <w:rsid w:val="009B5CC0"/>
    <w:rsid w:val="009B5F25"/>
    <w:rsid w:val="009C19E0"/>
    <w:rsid w:val="009C2DE0"/>
    <w:rsid w:val="009C70D1"/>
    <w:rsid w:val="009C7DC3"/>
    <w:rsid w:val="009D1514"/>
    <w:rsid w:val="009D6DF4"/>
    <w:rsid w:val="009E770F"/>
    <w:rsid w:val="009F039F"/>
    <w:rsid w:val="00A001DF"/>
    <w:rsid w:val="00A010E9"/>
    <w:rsid w:val="00A01B1E"/>
    <w:rsid w:val="00A05DB0"/>
    <w:rsid w:val="00A17E73"/>
    <w:rsid w:val="00A23941"/>
    <w:rsid w:val="00A23FAE"/>
    <w:rsid w:val="00A33401"/>
    <w:rsid w:val="00A36BED"/>
    <w:rsid w:val="00A41EDF"/>
    <w:rsid w:val="00A41F60"/>
    <w:rsid w:val="00A5112B"/>
    <w:rsid w:val="00A54043"/>
    <w:rsid w:val="00A561CD"/>
    <w:rsid w:val="00A56871"/>
    <w:rsid w:val="00A7376B"/>
    <w:rsid w:val="00A74409"/>
    <w:rsid w:val="00A811CD"/>
    <w:rsid w:val="00A8429D"/>
    <w:rsid w:val="00A87D6F"/>
    <w:rsid w:val="00A94698"/>
    <w:rsid w:val="00A954FC"/>
    <w:rsid w:val="00AA5AB3"/>
    <w:rsid w:val="00AB0FD1"/>
    <w:rsid w:val="00AB1436"/>
    <w:rsid w:val="00AC66FA"/>
    <w:rsid w:val="00AC7EED"/>
    <w:rsid w:val="00AD1D88"/>
    <w:rsid w:val="00AD53C2"/>
    <w:rsid w:val="00AE348F"/>
    <w:rsid w:val="00AE3C4C"/>
    <w:rsid w:val="00AE48EF"/>
    <w:rsid w:val="00AE7D5F"/>
    <w:rsid w:val="00AF6383"/>
    <w:rsid w:val="00AF63CE"/>
    <w:rsid w:val="00AF63D2"/>
    <w:rsid w:val="00B05F29"/>
    <w:rsid w:val="00B2064A"/>
    <w:rsid w:val="00B24C26"/>
    <w:rsid w:val="00B30B8B"/>
    <w:rsid w:val="00B31D74"/>
    <w:rsid w:val="00B3643E"/>
    <w:rsid w:val="00B40123"/>
    <w:rsid w:val="00B407B1"/>
    <w:rsid w:val="00B417AE"/>
    <w:rsid w:val="00B47A55"/>
    <w:rsid w:val="00B50D0E"/>
    <w:rsid w:val="00B52FA3"/>
    <w:rsid w:val="00B726F5"/>
    <w:rsid w:val="00B72B39"/>
    <w:rsid w:val="00B94D6A"/>
    <w:rsid w:val="00BA3FF7"/>
    <w:rsid w:val="00BA5A78"/>
    <w:rsid w:val="00BB1EA0"/>
    <w:rsid w:val="00BB2693"/>
    <w:rsid w:val="00BB459B"/>
    <w:rsid w:val="00BC3F31"/>
    <w:rsid w:val="00BF3672"/>
    <w:rsid w:val="00C07616"/>
    <w:rsid w:val="00C12E75"/>
    <w:rsid w:val="00C16F8B"/>
    <w:rsid w:val="00C2309A"/>
    <w:rsid w:val="00C248D6"/>
    <w:rsid w:val="00C30BB1"/>
    <w:rsid w:val="00C36306"/>
    <w:rsid w:val="00C37C30"/>
    <w:rsid w:val="00C41D64"/>
    <w:rsid w:val="00C47226"/>
    <w:rsid w:val="00C548A3"/>
    <w:rsid w:val="00C571EE"/>
    <w:rsid w:val="00C624B7"/>
    <w:rsid w:val="00C62FD1"/>
    <w:rsid w:val="00C667B0"/>
    <w:rsid w:val="00C70325"/>
    <w:rsid w:val="00C84475"/>
    <w:rsid w:val="00C85B58"/>
    <w:rsid w:val="00C85B95"/>
    <w:rsid w:val="00CA1DFE"/>
    <w:rsid w:val="00CA1F29"/>
    <w:rsid w:val="00CB6AB9"/>
    <w:rsid w:val="00CC0163"/>
    <w:rsid w:val="00CC0318"/>
    <w:rsid w:val="00CC35E9"/>
    <w:rsid w:val="00CD312B"/>
    <w:rsid w:val="00CE1389"/>
    <w:rsid w:val="00D11ED5"/>
    <w:rsid w:val="00D20ACE"/>
    <w:rsid w:val="00D249B9"/>
    <w:rsid w:val="00D30DD9"/>
    <w:rsid w:val="00D32823"/>
    <w:rsid w:val="00D35805"/>
    <w:rsid w:val="00D36D9E"/>
    <w:rsid w:val="00D4280D"/>
    <w:rsid w:val="00D613FB"/>
    <w:rsid w:val="00D65803"/>
    <w:rsid w:val="00D73BFC"/>
    <w:rsid w:val="00D74C5C"/>
    <w:rsid w:val="00D774B1"/>
    <w:rsid w:val="00D85845"/>
    <w:rsid w:val="00D90274"/>
    <w:rsid w:val="00D96231"/>
    <w:rsid w:val="00DA4A7E"/>
    <w:rsid w:val="00DA76C2"/>
    <w:rsid w:val="00DB01A3"/>
    <w:rsid w:val="00DB3BD0"/>
    <w:rsid w:val="00DB6530"/>
    <w:rsid w:val="00DB6615"/>
    <w:rsid w:val="00DE13F0"/>
    <w:rsid w:val="00DF3274"/>
    <w:rsid w:val="00DF7E4D"/>
    <w:rsid w:val="00E00BD2"/>
    <w:rsid w:val="00E14E94"/>
    <w:rsid w:val="00E162BD"/>
    <w:rsid w:val="00E26468"/>
    <w:rsid w:val="00E3548F"/>
    <w:rsid w:val="00E36B0E"/>
    <w:rsid w:val="00E3722E"/>
    <w:rsid w:val="00E442C6"/>
    <w:rsid w:val="00E451ED"/>
    <w:rsid w:val="00E54877"/>
    <w:rsid w:val="00E55B5B"/>
    <w:rsid w:val="00E56A25"/>
    <w:rsid w:val="00E60DB0"/>
    <w:rsid w:val="00E61559"/>
    <w:rsid w:val="00E665E2"/>
    <w:rsid w:val="00E67F27"/>
    <w:rsid w:val="00E86D5C"/>
    <w:rsid w:val="00E87F25"/>
    <w:rsid w:val="00E95422"/>
    <w:rsid w:val="00E962F0"/>
    <w:rsid w:val="00EA343B"/>
    <w:rsid w:val="00EB0B84"/>
    <w:rsid w:val="00EB2080"/>
    <w:rsid w:val="00EC443F"/>
    <w:rsid w:val="00ED332D"/>
    <w:rsid w:val="00ED62A3"/>
    <w:rsid w:val="00ED7390"/>
    <w:rsid w:val="00EE1504"/>
    <w:rsid w:val="00EE2380"/>
    <w:rsid w:val="00EE30C2"/>
    <w:rsid w:val="00EE5BB6"/>
    <w:rsid w:val="00EE6850"/>
    <w:rsid w:val="00EF0001"/>
    <w:rsid w:val="00EF2950"/>
    <w:rsid w:val="00EF7600"/>
    <w:rsid w:val="00F0624B"/>
    <w:rsid w:val="00F2245A"/>
    <w:rsid w:val="00F2712A"/>
    <w:rsid w:val="00F44F1E"/>
    <w:rsid w:val="00F515B9"/>
    <w:rsid w:val="00F6362D"/>
    <w:rsid w:val="00F66E1F"/>
    <w:rsid w:val="00F70417"/>
    <w:rsid w:val="00F7276D"/>
    <w:rsid w:val="00F76CF4"/>
    <w:rsid w:val="00F81214"/>
    <w:rsid w:val="00F81B02"/>
    <w:rsid w:val="00F835F4"/>
    <w:rsid w:val="00F91844"/>
    <w:rsid w:val="00F9629E"/>
    <w:rsid w:val="00FA2FCA"/>
    <w:rsid w:val="00FA3CC4"/>
    <w:rsid w:val="00FA42FA"/>
    <w:rsid w:val="00FA5F21"/>
    <w:rsid w:val="00FA6746"/>
    <w:rsid w:val="00FA7ACE"/>
    <w:rsid w:val="00FB1FD3"/>
    <w:rsid w:val="00FB72C3"/>
    <w:rsid w:val="00FB76ED"/>
    <w:rsid w:val="00FC188B"/>
    <w:rsid w:val="00FD6391"/>
    <w:rsid w:val="00FE2AD9"/>
    <w:rsid w:val="00FE3C31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35BC2-C4A5-45A8-8366-9F71F949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870FB8"/>
    <w:rPr>
      <w:rFonts w:eastAsia="Calibri" w:cs="Arial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1"/>
    <w:rsid w:val="00870FB8"/>
    <w:rPr>
      <w:rFonts w:eastAsia="Calibri" w:cs="Arial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1"/>
    <w:rsid w:val="00870FB8"/>
    <w:rPr>
      <w:rFonts w:eastAsia="Calibri" w:cs="Arial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1"/>
    <w:rsid w:val="00870FB8"/>
    <w:rPr>
      <w:rFonts w:eastAsia="Calibri" w:cs="Arial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1"/>
    <w:rsid w:val="00870FB8"/>
    <w:rPr>
      <w:rFonts w:eastAsia="Calibri" w:cs="Arial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F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B48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3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395"/>
  </w:style>
  <w:style w:type="paragraph" w:styleId="Footer">
    <w:name w:val="footer"/>
    <w:basedOn w:val="Normal"/>
    <w:link w:val="FooterChar"/>
    <w:uiPriority w:val="99"/>
    <w:unhideWhenUsed/>
    <w:rsid w:val="001A63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395"/>
  </w:style>
  <w:style w:type="character" w:styleId="Hyperlink">
    <w:name w:val="Hyperlink"/>
    <w:basedOn w:val="DefaultParagraphFont"/>
    <w:uiPriority w:val="99"/>
    <w:unhideWhenUsed/>
    <w:rsid w:val="00BC3F3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2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4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4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4B7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044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6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meri.gov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meri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80DF5-6B43-41B1-A326-F4531AD5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 Mikulic</dc:creator>
  <cp:lastModifiedBy>Amela Mikulic</cp:lastModifiedBy>
  <cp:revision>14</cp:revision>
  <cp:lastPrinted>2023-05-22T12:59:00Z</cp:lastPrinted>
  <dcterms:created xsi:type="dcterms:W3CDTF">2023-05-09T12:56:00Z</dcterms:created>
  <dcterms:modified xsi:type="dcterms:W3CDTF">2023-05-22T13:01:00Z</dcterms:modified>
</cp:coreProperties>
</file>